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4.png" ContentType="image/png"/>
  <Override PartName="/word/media/rId35.png" ContentType="image/png"/>
  <Override PartName="/word/media/rId42.png" ContentType="image/png"/>
  <Override PartName="/word/media/rId40.png" ContentType="image/png"/>
  <Override PartName="/word/media/rId80.png" ContentType="image/png"/>
  <Override PartName="/word/media/rId77.png" ContentType="image/png"/>
  <Override PartName="/word/media/rId89.png" ContentType="image/png"/>
  <Override PartName="/word/media/rId88.png" ContentType="image/png"/>
  <Override PartName="/word/media/rId79.png" ContentType="image/png"/>
  <Override PartName="/word/media/rId73.png" ContentType="image/png"/>
  <Override PartName="/word/media/rId86.png" ContentType="image/png"/>
  <Override PartName="/word/media/rId76.png" ContentType="image/png"/>
  <Override PartName="/word/media/rId65.png" ContentType="image/png"/>
  <Override PartName="/word/media/rId67.png" ContentType="image/png"/>
  <Override PartName="/word/media/rId84.png" ContentType="image/png"/>
  <Override PartName="/word/media/rId63.png" ContentType="image/png"/>
  <Override PartName="/word/media/rId62.png" ContentType="image/png"/>
  <Override PartName="/word/media/rId60.png" ContentType="image/png"/>
  <Override PartName="/word/media/rId59.png" ContentType="image/png"/>
  <Override PartName="/word/media/rId57.png" ContentType="image/png"/>
  <Override PartName="/word/media/rId70.png" ContentType="image/png"/>
  <Override PartName="/word/media/rId54.png" ContentType="image/png"/>
  <Override PartName="/word/media/rId37.png" ContentType="image/png"/>
  <Override PartName="/word/media/rId106.png" ContentType="image/png"/>
  <Override PartName="/word/media/rId107.png" ContentType="image/png"/>
  <Override PartName="/word/media/rId82.png" ContentType="image/png"/>
  <Override PartName="/word/media/rId110.png" ContentType="image/png"/>
  <Override PartName="/word/media/rId109.png" ContentType="image/png"/>
  <Override PartName="/word/media/rId83.png" ContentType="image/png"/>
  <Override PartName="/word/media/rId111.png" ContentType="image/png"/>
  <Override PartName="/word/media/rId112.png" ContentType="image/png"/>
  <Override PartName="/word/media/image29.png" ContentType="image/png"/>
  <Override PartName="/word/media/image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(Chapters 2 &amp; 3) were based on principals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All data analysis was completed by H.J.McSorley. All geospatial data extraction (Chapter 2, Table #####) was completed by (or confirmed by, in the case of watershed boundary delineation) Ali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 I would like to acknowledge the support from Vancouver Island University and University of British Columbia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field assistance during the winter of 2019/2020, and for help with GIS.</w:t>
      </w:r>
    </w:p>
    <w:p>
      <w:pPr>
        <w:pStyle w:val="BodyText"/>
      </w:pPr>
      <w:r>
        <w:t xml:space="preserve">Last but certainly not least, thanks to my incredibly wonderful friends and family for supporting me in my scientific and academic pursuits. I really appreciate all the love and support, dinners and coffees, bike rides and beers, proof-reading and encouragement. Thank you all for your patience also, this was a big project.</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Third, I dedicate this to my undergraduate research supervisor and mentor, Erik Krogh (VIU Chemistry), for inspiring me to realize my potential as a scientific researcher.</w:t>
      </w:r>
    </w:p>
    <w:p>
      <w:pPr>
        <w:pStyle w:val="BodyText"/>
      </w:pPr>
      <w:r>
        <w:t xml:space="preserve">Cheers</w:t>
      </w:r>
    </w:p>
    <w:p>
      <w:pPr>
        <w:pStyle w:val="Heading2"/>
      </w:pPr>
      <w:bookmarkStart w:id="26" w:name="introduction"/>
      <w:r>
        <w:t xml:space="preserve">Introduction</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w:t>
      </w:r>
      <w:r>
        <w:t xml:space="preserve">.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pathogen-free water. Therefore, disinfection - the inactivation of potentially harmful microorganisms -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In addition to treated drinking water quality guidelines, there are source water quality guidelines in place because drinking water treatment requirements vary with source water quality</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high turbidity levels (i.e., suspended solids), varying temperature, dissolved oxygen, pH and natural organic matter, which can create aesthetic issues (i.e. taste, odour, colour) and effect coagulation efficiency and oxidative processes</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 Colour is primarily an aesthetic concern for drinking water, but the natural organic matter that creates colour can interfere with effective disinfection and treatment, and thus there are water quality guidelines in place for source water colour</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While objectionable aesthetics (i.e., taste, odour, colour) caused by aqueous natural organic matter (NOM) do not directly impact human health, source water NOM can be problematic for effective drinking water treatment NOM reduces treatment effectiveness by interfering with ultraviolet (UV) disinfection and/or increasing chlorination demand, and because NOM promotes biological growth, it can lead to fouling of treatment and distribution infrastructure</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 Jacangelo et al.</w:t>
      </w:r>
      <w:r>
        <w:t xml:space="preserve"> </w:t>
      </w:r>
      <w:hyperlink w:anchor="ref-Jacangelo1995">
        <w:r>
          <w:rPr>
            <w:rStyle w:val="Hyperlink"/>
          </w:rPr>
          <w:t xml:space="preserve">1995</w:t>
        </w:r>
      </w:hyperlink>
      <w:r>
        <w:t xml:space="preserve">)</w:t>
      </w:r>
      <w:r>
        <w:t xml:space="preserve">. Depending on the infrastructure design and operation of a drinking water treatment plant, elevated levels of NOM in source water can increase coagulant and disinfectant demand which increases the production of sludge (to be disposed of) and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Heading3"/>
      </w:pPr>
      <w:bookmarkStart w:id="28" w:name="aqueous-natural-organic-matter"/>
      <w:r>
        <w:t xml:space="preserve">Aqueous natural organic matter</w:t>
      </w:r>
      <w:bookmarkEnd w:id="28"/>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3"/>
      </w:pPr>
      <w:bookmarkStart w:id="29" w:name="watershed-processes-and-water-quality"/>
      <w:r>
        <w:t xml:space="preserve">Watershed processes and water quality</w:t>
      </w:r>
      <w:bookmarkEnd w:id="29"/>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Heading4"/>
      </w:pPr>
      <w:bookmarkStart w:id="30" w:name="X1c8b1846ec8827e81bf11c20cacd4a3ed2cc375"/>
      <w:r>
        <w:t xml:space="preserve">Source water quality considerations Greater Victoria’s water supply areas</w:t>
      </w:r>
      <w:bookmarkEnd w:id="30"/>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pPr>
        <w:pStyle w:val="BodyText"/>
      </w:pPr>
      <w:r>
        <w:t xml:space="preserve"> </w:t>
      </w:r>
    </w:p>
    <w:p>
      <w:pPr>
        <w:pStyle w:val="BodyText"/>
      </w:pPr>
      <w:r>
        <w:t xml:space="preserve">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Heading3"/>
      </w:pPr>
      <w:bookmarkStart w:id="31" w:name="research-objectives"/>
      <w:r>
        <w:t xml:space="preserve">Research objectives</w:t>
      </w:r>
      <w:bookmarkEnd w:id="31"/>
    </w:p>
    <w:p>
      <w:pPr>
        <w:pStyle w:val="FirstParagraph"/>
      </w:pPr>
      <w:r>
        <w:t xml:space="preserve">The purpose of this master’s research project was to establish a baseline understanding of hydrologic responses and water quality variability in rivers across the LWSA.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2" w:name="methods"/>
      <w:r>
        <w:t xml:space="preserve">Methods</w:t>
      </w:r>
      <w:bookmarkEnd w:id="32"/>
    </w:p>
    <w:p>
      <w:pPr>
        <w:pStyle w:val="FirstParagraph"/>
      </w:pPr>
      <w:r>
        <w:t xml:space="preserve">Geospatial data were collected from GeoGratis, the Government of Canada Geospatial Data Extraction tool (geogratis.gc.ca) with supplemental data provided by the CRD.</w:t>
      </w:r>
      <w:r>
        <w:rPr>
          <w:rStyle w:val="FootnoteReference"/>
        </w:rPr>
        <w:footnoteReference w:id="33"/>
      </w:r>
      <w:r>
        <w:t xml:space="preserve"> </w:t>
      </w:r>
      <w:r>
        <w:t xml:space="preserve">Maps were created using QGIS (version 3.12.1, Bucuresti; www.qgis.org), and catchment boundaries were delineated using the QGIS GRASS plugin (GRASS GIS 7, version 2).</w:t>
      </w:r>
    </w:p>
    <w:p>
      <w:pPr>
        <w:pStyle w:val="Heading3"/>
      </w:pPr>
      <w:bookmarkStart w:id="34" w:name="study-site-leech-river-watershed"/>
      <w:r>
        <w:t xml:space="preserve">Study Site: Leech River Watershed</w:t>
      </w:r>
      <w:bookmarkEnd w:id="34"/>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w:t>
      </w:r>
      <w:r>
        <w:t xml:space="preserve"> </w:t>
      </w:r>
      <w:r>
        <w:t xml:space="preserve">1</w:t>
      </w:r>
      <w:r>
        <w:t xml:space="preserve"> </w:t>
      </w:r>
      <w:r>
        <w:t xml:space="preserve">shows the Leech and Sooke Water Supply areas in context to their location on Vancouver Island, BC, Canada.</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eiw of Canada illustrates precipitation of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5"/>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overveiw of Canada illustrates precipitation of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4"/>
      </w:pPr>
      <w:bookmarkStart w:id="36" w:name="climate-weather-forests"/>
      <w:r>
        <w:t xml:space="preserve">Climate, Weather, Forests</w:t>
      </w:r>
      <w:bookmarkEnd w:id="36"/>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 </w:t>
      </w:r>
    </w:p>
    <w:p>
      <w:pPr>
        <w:pStyle w:val="BodyText"/>
      </w:pPr>
      <w:r>
        <w:t xml:space="preserve">There are two weather stations which operated during the study period: Chris Creek station is located in the headwaters of the LWSA and Martin’s Gulch station is located near the future diversion point (Leech River Tunnel). The CRD provided weather station data from Chris Creek and Martin’s Gulch weather stations from January 2018 to March 2020. Rainfall and air temperature from each of the two LWSA weather stations is shown in Figure</w:t>
      </w:r>
      <w:r>
        <w:t xml:space="preserve"> </w:t>
      </w:r>
      <w:r>
        <w:t xml:space="preserve">2</w:t>
      </w:r>
      <w:r>
        <w:t xml:space="preserve">. Slightly more precipitation was recorded at Martin’s Gulch than Chris Creek station. Annual weather data from each of the LWSA weather stations are summarized in Table</w:t>
      </w:r>
      <w:r>
        <w:t xml:space="preserve"> </w:t>
      </w:r>
      <w:r>
        <w:t xml:space="preserve">2</w:t>
      </w:r>
      <w:r>
        <w:t xml:space="preserve">.</w:t>
      </w:r>
    </w:p>
    <w:p>
      <w:pPr>
        <w:pStyle w:val="BodyText"/>
      </w:pPr>
      <w:r>
        <w:t xml:space="preserve"> </w:t>
      </w:r>
    </w:p>
    <w:p>
      <w:pPr>
        <w:pStyle w:val="CaptionedFigure"/>
      </w:pPr>
      <w:r>
        <w:drawing>
          <wp:inline>
            <wp:extent cx="5504749" cy="4587290"/>
            <wp:effectExtent b="0" l="0" r="0" t="0"/>
            <wp:docPr descr="Figure 2:  Weather from two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3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Weather from two stations in the Leech water supply area. Coloured sections of plots highlight the field study period of this project.</w:t>
      </w:r>
    </w:p>
    <w:p>
      <w:pPr>
        <w:pStyle w:val="BodyText"/>
      </w:pPr>
      <w:r>
        <w:t xml:space="preserve"> </w:t>
      </w:r>
    </w:p>
    <w:p>
      <w:pPr>
        <w:pStyle w:val="TableCaption"/>
      </w:pPr>
      <w:r>
        <w:t xml:space="preserve">Table 2:</w:t>
      </w:r>
      <w:r>
        <w:t xml:space="preserve"> </w:t>
      </w:r>
      <w:r>
        <w:rPr>
          <w:i/>
        </w:rPr>
        <w:t xml:space="preserve">Two years of weather from CRD stations in Leech water supply area</w:t>
      </w:r>
    </w:p>
    <w:tbl>
      <w:tblPr>
        <w:tblStyle w:val="Table"/>
        <w:tblW w:type="pct" w:w="0.0"/>
        <w:tblLook w:firstRow="1"/>
        <w:tblCaption w:val="Table 2: Two years of weather from CRD stations in Leech water supply area"/>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3.09</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3.01</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3.09</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3.01</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3.09</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3.01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BodyText"/>
      </w:pPr>
      <w:r>
        <w:t xml:space="preserve">Using the R package</w:t>
      </w:r>
      <w:r>
        <w:t xml:space="preserve"> </w:t>
      </w:r>
      <w:r>
        <w:rPr>
          <w:i/>
        </w:rPr>
        <w:t xml:space="preserve">Rainmaker</w:t>
      </w:r>
      <w:r>
        <w:t xml:space="preserve"> </w:t>
      </w:r>
      <w:r>
        <w:t xml:space="preserve">(USGS), rain data were used to define events that corresponded to sampling campaigns. Seasons were operationally defined based on periods with or without major rain events, where</w:t>
      </w:r>
      <w:r>
        <w:t xml:space="preserve"> </w:t>
      </w:r>
      <w:r>
        <w:t xml:space="preserve">“</w:t>
      </w:r>
      <w:r>
        <w:t xml:space="preserve">wet</w:t>
      </w:r>
      <w:r>
        <w:t xml:space="preserve">”</w:t>
      </w:r>
      <w:r>
        <w:t xml:space="preserve"> </w:t>
      </w:r>
      <w:r>
        <w:t xml:space="preserve">season included major events and</w:t>
      </w:r>
      <w:r>
        <w:t xml:space="preserve"> </w:t>
      </w:r>
      <w:r>
        <w:t xml:space="preserve">“</w:t>
      </w:r>
      <w:r>
        <w:t xml:space="preserve">dry</w:t>
      </w:r>
      <w:r>
        <w:t xml:space="preserve">”</w:t>
      </w:r>
      <w:r>
        <w:t xml:space="preserve"> </w:t>
      </w:r>
      <w:r>
        <w:t xml:space="preserve">season did not.</w:t>
      </w:r>
    </w:p>
    <w:p>
      <w:pPr>
        <w:pStyle w:val="Heading3"/>
      </w:pPr>
      <w:bookmarkStart w:id="38" w:name="river-sampling"/>
      <w:r>
        <w:t xml:space="preserve">River sampling</w:t>
      </w:r>
      <w:bookmarkEnd w:id="38"/>
    </w:p>
    <w:p>
      <w:pPr>
        <w:pStyle w:val="FirstParagraph"/>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A total of 446 samples were collected from November 2018 to February 2020, all samples were analyzed and some were excluded during QA/QC, resulting in 393 unique samples included in data analyses and results (Table</w:t>
      </w:r>
      <w:r>
        <w:t xml:space="preserve"> </w:t>
      </w:r>
      <w:r>
        <w:t xml:space="preserve">3</w:t>
      </w:r>
      <w:r>
        <w:t xml:space="preserve">). Samples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 (see Appendix).</w:t>
      </w:r>
    </w:p>
    <w:p>
      <w:pPr>
        <w:pStyle w:val="BodyText"/>
      </w:pPr>
      <w:r>
        <w:t xml:space="preserve"> </w:t>
      </w:r>
    </w:p>
    <w:p>
      <w:pPr>
        <w:pStyle w:val="TableCaption"/>
      </w:pPr>
      <w:r>
        <w:t xml:space="preserve">Table 3:</w:t>
      </w:r>
      <w:r>
        <w:t xml:space="preserve"> </w:t>
      </w:r>
      <w:r>
        <w:rPr>
          <w:i/>
        </w:rPr>
        <w:t xml:space="preserve">Summary of samples collected</w:t>
      </w:r>
    </w:p>
    <w:tbl>
      <w:tblPr>
        <w:tblStyle w:val="Table"/>
        <w:tblW w:type="pct" w:w="0.0"/>
        <w:tblLook w:firstRow="1"/>
        <w:tblCaption w:val="Table 3: Summary of samples collected"/>
      </w:tblPr>
      <w:tblGrid/>
      <w:tr>
        <w:trPr>
          <w:cnfStyle w:firstRow="1"/>
        </w:trPr>
        <w:tc>
          <w:tcPr>
            <w:tcBorders>
              <w:bottom w:val="single"/>
            </w:tcBorders>
            <w:vAlign w:val="bottom"/>
          </w:tcPr>
          <w:p>
            <w:pPr>
              <w:pStyle w:val="Compact"/>
              <w:jc w:val="left"/>
            </w:pPr>
            <w:r>
              <w:t xml:space="preserve">sample category</w:t>
            </w:r>
          </w:p>
        </w:tc>
        <w:tc>
          <w:tcPr>
            <w:tcBorders>
              <w:bottom w:val="single"/>
            </w:tcBorders>
            <w:vAlign w:val="bottom"/>
          </w:tcPr>
          <w:p>
            <w:pPr>
              <w:pStyle w:val="Compact"/>
              <w:jc w:val="right"/>
            </w:pPr>
            <w:r>
              <w:t xml:space="preserve">total count</w:t>
            </w:r>
          </w:p>
        </w:tc>
      </w:tr>
      <w:tr>
        <w:tc>
          <w:p>
            <w:pPr>
              <w:pStyle w:val="Compact"/>
              <w:jc w:val="left"/>
            </w:pPr>
            <w:r>
              <w:t xml:space="preserve">synoptic Grab samples outside of monitoring sites</w:t>
            </w:r>
          </w:p>
        </w:tc>
        <w:tc>
          <w:p>
            <w:pPr>
              <w:pStyle w:val="Compact"/>
              <w:jc w:val="right"/>
            </w:pPr>
            <w:r>
              <w:t xml:space="preserve">53</w:t>
            </w:r>
          </w:p>
        </w:tc>
      </w:tr>
      <w:tr>
        <w:tc>
          <w:p>
            <w:pPr>
              <w:pStyle w:val="Compact"/>
              <w:jc w:val="left"/>
            </w:pPr>
            <w:r>
              <w:t xml:space="preserve">opportunistic Grab samples</w:t>
            </w:r>
          </w:p>
        </w:tc>
        <w:tc>
          <w:p>
            <w:pPr>
              <w:pStyle w:val="Compact"/>
              <w:jc w:val="right"/>
            </w:pPr>
            <w:r>
              <w:t xml:space="preserve">17</w:t>
            </w:r>
          </w:p>
        </w:tc>
      </w:tr>
      <w:tr>
        <w:tc>
          <w:p>
            <w:pPr>
              <w:pStyle w:val="Compact"/>
              <w:jc w:val="left"/>
            </w:pPr>
            <w:r>
              <w:t xml:space="preserve">monitoring sites synoptic Grab samples</w:t>
            </w:r>
          </w:p>
        </w:tc>
        <w:tc>
          <w:p>
            <w:pPr>
              <w:pStyle w:val="Compact"/>
              <w:jc w:val="right"/>
            </w:pPr>
            <w:r>
              <w:t xml:space="preserve">153</w:t>
            </w:r>
          </w:p>
        </w:tc>
      </w:tr>
      <w:tr>
        <w:tc>
          <w:p>
            <w:pPr>
              <w:pStyle w:val="Compact"/>
              <w:jc w:val="left"/>
            </w:pPr>
            <w:r>
              <w:t xml:space="preserve">monitoring sites vertical Rack samples</w:t>
            </w:r>
          </w:p>
        </w:tc>
        <w:tc>
          <w:p>
            <w:pPr>
              <w:pStyle w:val="Compact"/>
              <w:jc w:val="right"/>
            </w:pPr>
            <w:r>
              <w:t xml:space="preserve">170</w:t>
            </w:r>
          </w:p>
        </w:tc>
      </w:tr>
      <w:tr>
        <w:tc>
          <w:p>
            <w:pPr>
              <w:pStyle w:val="Compact"/>
              <w:jc w:val="left"/>
            </w:pPr>
            <w:r>
              <w:t xml:space="preserve">total samples analyzed for results</w:t>
            </w:r>
          </w:p>
        </w:tc>
        <w:tc>
          <w:p>
            <w:pPr>
              <w:pStyle w:val="Compact"/>
              <w:jc w:val="right"/>
            </w:pPr>
            <w:r>
              <w:t xml:space="preserve">393</w:t>
            </w:r>
          </w:p>
        </w:tc>
      </w:tr>
    </w:tbl>
    <w:p>
      <w:pPr>
        <w:pStyle w:val="BodyText"/>
      </w:pPr>
      <w:r>
        <w:t xml:space="preserve"> </w:t>
      </w:r>
    </w:p>
    <w:p>
      <w:pPr>
        <w:pStyle w:val="Heading4"/>
      </w:pPr>
      <w:bookmarkStart w:id="39" w:name="synoptic-sampling"/>
      <w:r>
        <w:t xml:space="preserve">Synoptic sampling</w:t>
      </w:r>
      <w:bookmarkEnd w:id="39"/>
    </w:p>
    <w:p>
      <w:pPr>
        <w:pStyle w:val="CaptionedFigure"/>
      </w:pPr>
      <w:r>
        <w:drawing>
          <wp:inline>
            <wp:extent cx="5943600" cy="4153212"/>
            <wp:effectExtent b="0" l="0" r="0" t="0"/>
            <wp:docPr descr="Figure 3:  Synoptic sampling sites across the Greater Victoria Water Supply Areas." title="" id="1" name="Picture"/>
            <a:graphic>
              <a:graphicData uri="http://schemas.openxmlformats.org/drawingml/2006/picture">
                <pic:pic>
                  <pic:nvPicPr>
                    <pic:cNvPr descr="R-inputs_UBC-forWater-MSc_HMc/images/thesis_map_synoptic-sampling.png" id="0" name="Picture"/>
                    <pic:cNvPicPr>
                      <a:picLocks noChangeArrowheads="1" noChangeAspect="1"/>
                    </pic:cNvPicPr>
                  </pic:nvPicPr>
                  <pic:blipFill>
                    <a:blip r:embed="rId40"/>
                    <a:stretch>
                      <a:fillRect/>
                    </a:stretch>
                  </pic:blipFill>
                  <pic:spPr bwMode="auto">
                    <a:xfrm>
                      <a:off x="0" y="0"/>
                      <a:ext cx="5943600" cy="4153212"/>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Synoptic sampling sites across the Greater Victoria Water Supply Areas.</w:t>
      </w:r>
    </w:p>
    <w:p>
      <w:pPr>
        <w:pStyle w:val="BodyText"/>
      </w:pPr>
      <w:r>
        <w:t xml:space="preserve"> </w:t>
      </w:r>
    </w:p>
    <w:p>
      <w:pPr>
        <w:pStyle w:val="BodyText"/>
      </w:pPr>
      <w:r>
        <w:t xml:space="preserve">Thirteen sites were selected for synoptic water sampling and water quality analyses, and their results were used to elucidate temporal patterns in DOM and DOC dynamics. Synoptic samples were collected bi-weekly to monthly from October 2018 to February 2020; a total of 206 unique synoptic samples were collected (229 including replicates). Figure</w:t>
      </w:r>
      <w:r>
        <w:t xml:space="preserve"> </w:t>
      </w:r>
      <w:r>
        <w:t xml:space="preserve">3</w:t>
      </w:r>
      <w:r>
        <w:t xml:space="preserve"> </w:t>
      </w:r>
      <w:r>
        <w:t xml:space="preserve">shows the locations of the synoptically sampled sites. Grab sampling at these sites involved collecting river samples in triple-rinsed acid-washed 250mL amber HDPE bottles. Samples were capped with minimal headspace and transported on in a cooler (on ice) to the lab for analysis.</w:t>
      </w:r>
    </w:p>
    <w:p>
      <w:pPr>
        <w:pStyle w:val="Heading4"/>
      </w:pPr>
      <w:bookmarkStart w:id="41" w:name="MethodsNestedCatch"/>
      <w:r>
        <w:t xml:space="preserve">Sampling across nested catchments of the Leech watershed</w:t>
      </w:r>
      <w:bookmarkEnd w:id="41"/>
    </w:p>
    <w:p>
      <w:pPr>
        <w:pStyle w:val="FirstParagraph"/>
      </w:pPr>
      <w:r>
        <w:t xml:space="preserve">Across the Leech Water Supply Area (LWSA), six of the synoptic sampling sites were selected for more intensive monitoring. These sites represented the LWSA drainage basin defined from the the point of (future) diversion, the Leech Tunnel, and five sub-basins nested within the Leech Tunnel catchment. Figure</w:t>
      </w:r>
      <w:r>
        <w:t xml:space="preserve"> </w:t>
      </w:r>
      <w:r>
        <w:t xml:space="preserve">4</w:t>
      </w:r>
      <w:r>
        <w:t xml:space="preserve"> </w:t>
      </w:r>
      <w:r>
        <w:t xml:space="preserve">shows a map of the six monitoring sites and their catchment boundaries</w:t>
      </w:r>
      <w:r>
        <w:t xml:space="preserve"> </w:t>
      </w:r>
      <w:r>
        <w:t xml:space="preserve">which were delineated using each sampling site as the drainage outlet. The sub-basins represent important portions of the Leech River system: two headwater streams (Weeks and Chris Creek, sites 1 &amp; 2), the head of Leech River below the confluence of the two headwater streams (site 3), two mainstem rivers that feed the Leech (Cragg Creek and West Leech, sites 4 &amp; 5). Site 6 was located at the Leech River Tunnel and the drainage area included the entire LWSA.</w:t>
      </w:r>
    </w:p>
    <w:p>
      <w:pPr>
        <w:pStyle w:val="BodyText"/>
      </w:pPr>
      <w:r>
        <w:t xml:space="preserve"> </w:t>
      </w:r>
    </w:p>
    <w:p>
      <w:pPr>
        <w:pStyle w:val="CaptionedFigure"/>
      </w:pPr>
      <w:r>
        <w:drawing>
          <wp:inline>
            <wp:extent cx="5943600" cy="5976414"/>
            <wp:effectExtent b="0" l="0" r="0" t="0"/>
            <wp:docPr descr="Figure 4:  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4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is outlined in black, and the water supply area boundary is delineated in red.</w:t>
      </w:r>
    </w:p>
    <w:p>
      <w:pPr>
        <w:pStyle w:val="BodyText"/>
      </w:pPr>
      <w:r>
        <w:t xml:space="preserve"> </w:t>
      </w:r>
    </w:p>
    <w:p>
      <w:pPr>
        <w:pStyle w:val="BodyText"/>
      </w:pPr>
      <w:r>
        <w:t xml:space="preserve">Table</w:t>
      </w:r>
      <w:r>
        <w:t xml:space="preserve"> </w:t>
      </w:r>
      <w:r>
        <w:t xml:space="preserve">4</w:t>
      </w:r>
      <w:r>
        <w:t xml:space="preserve"> </w:t>
      </w:r>
      <w:r>
        <w:t xml:space="preserve">includes watershed characteristic data for each of the six research site basins. Weeks Creek (site 1), had the greatest proportion of wetland and open water compared to the other sub-basins.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4:</w:t>
      </w:r>
      <w:r>
        <w:t xml:space="preserve"> </w:t>
      </w:r>
      <w:r>
        <w:rPr>
          <w:i/>
        </w:rPr>
        <w:t xml:space="preserve">Watershed characteristics summary for study sites</w:t>
      </w:r>
    </w:p>
    <w:tbl>
      <w:tblPr>
        <w:tblStyle w:val="Table"/>
        <w:tblW w:type="pct" w:w="0.0"/>
        <w:tblLook w:firstRow="1"/>
        <w:tblCaption w:val="Table 4: Watershed characteristics summary for study sites"/>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Heading5"/>
      </w:pPr>
      <w:bookmarkStart w:id="43" w:name="installations"/>
      <w:r>
        <w:t xml:space="preserve">Installations</w:t>
      </w:r>
      <w:bookmarkEnd w:id="43"/>
    </w:p>
    <w:p>
      <w:pPr>
        <w:pStyle w:val="FirstParagraph"/>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Vertical racks collected samples during flows that would otherwise be difficult or unsafe to access, and were supplemented with standard grab samples between storm events and during summer baseflow.</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w:t>
      </w:r>
      <w:r>
        <w:t xml:space="preserve"> </w:t>
      </w:r>
      <w:r>
        <w:t xml:space="preserve">5</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4"/>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3"/>
      </w:pPr>
      <w:bookmarkStart w:id="45" w:name="analytical-techniques-data-handling"/>
      <w:r>
        <w:t xml:space="preserve">Analytical techniques &amp; data handling</w:t>
      </w:r>
      <w:bookmarkEnd w:id="45"/>
    </w:p>
    <w:p>
      <w:pPr>
        <w:pStyle w:val="FirstParagraph"/>
      </w:pPr>
      <w:r>
        <w:t xml:space="preserve">Water samples were collected and transported in coolers with ice to UBC’s EcoHydrology Lab (Earth Science Building) for analysis of dissolved organic carbon (DOC) concentrations and spectroscopic absorbance (indicator of NOM character). Samples were also measured for phosphate concentration using a colourmetric (ascorbic acid) orthophosphate test kit (HACH PO-19); each sample had phosphate concentration below detectable limits (0.1 mg/L).</w:t>
      </w:r>
    </w:p>
    <w:p>
      <w:pPr>
        <w:pStyle w:val="Heading4"/>
      </w:pPr>
      <w:bookmarkStart w:id="46" w:name="X11d4bdebbabfc52989182cb9a32e289da31c756"/>
      <w:r>
        <w:t xml:space="preserve">Dissolved organic carbon (DOC) concentration and characterization</w:t>
      </w:r>
      <w:bookmarkEnd w:id="46"/>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BodyText"/>
      </w:pPr>
      <w:r>
        <w:t xml:space="preserve"> </w:t>
      </w:r>
    </w:p>
    <w:p>
      <w:pPr>
        <w:pStyle w:val="BodyText"/>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5"/>
      </w:pPr>
      <w:bookmarkStart w:id="47" w:name="suva254"/>
      <w:r>
        <w:t xml:space="preserve">SUVA</w:t>
      </w:r>
      <w:r>
        <w:rPr>
          <w:vertAlign w:val="subscript"/>
        </w:rPr>
        <w:t xml:space="preserve">254</w:t>
      </w:r>
      <w:bookmarkEnd w:id="47"/>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254nm (SAC</w:t>
      </w:r>
      <w:r>
        <w:rPr>
          <w:vertAlign w:val="subscript"/>
        </w:rPr>
        <w:t xml:space="preserve">254</w:t>
      </w:r>
      <w:r>
        <w:t xml:space="preserve">) by DOC concentration ( mgL</w:t>
      </w:r>
      <w:r>
        <w:rPr>
          <w:vertAlign w:val="superscript"/>
        </w:rPr>
        <w:t xml:space="preserve">-1</w:t>
      </w:r>
      <w:r>
        <w:t xml:space="preserve"> </w:t>
      </w:r>
      <w:r>
        <w:t xml:space="preserve">as NPOC). SUVA</w:t>
      </w:r>
      <w:r>
        <w:rPr>
          <w:vertAlign w:val="subscript"/>
        </w:rPr>
        <w:t xml:space="preserve">254</w:t>
      </w:r>
      <w:r>
        <w:t xml:space="preserve"> </w:t>
      </w:r>
      <w:r>
        <w:t xml:space="preserve">correlates strongly with DOM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(i.e., allochthonous NOM) are more aromatic, SUVA</w:t>
      </w:r>
      <w:r>
        <w:rPr>
          <w:vertAlign w:val="subscript"/>
        </w:rPr>
        <w:t xml:space="preserve">254</w:t>
      </w:r>
      <w:r>
        <w:t xml:space="preserve"> </w:t>
      </w:r>
      <w:r>
        <w:t xml:space="preserve">is a good indicator of humic sources of DOM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Heading5"/>
      </w:pPr>
      <w:bookmarkStart w:id="48" w:name="spectral-indices-of-nom-character"/>
      <w:r>
        <w:t xml:space="preserve">Spectral indices of NOM character</w:t>
      </w:r>
      <w:bookmarkEnd w:id="48"/>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size (weight) and aromaticity</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Spectral slopes over the wavelength range of 275-295 nm (S</w:t>
      </w:r>
      <w:r>
        <w:rPr>
          <w:vertAlign w:val="subscript"/>
        </w:rPr>
        <w:t xml:space="preserve">275-295</w:t>
      </w:r>
      <w:r>
        <w:t xml:space="preserve">) and 350-400 nm (S</w:t>
      </w:r>
      <w:r>
        <w:rPr>
          <w:vertAlign w:val="subscript"/>
        </w:rPr>
        <w:t xml:space="preserve">350-400</w:t>
      </w:r>
      <w:r>
        <w:t xml:space="preserve">) were calculated from linear regression of log</w:t>
      </w:r>
      <w:r>
        <w:rPr>
          <w:vertAlign w:val="subscript"/>
        </w:rPr>
        <w:t xml:space="preserve">e</w:t>
      </w:r>
      <w:r>
        <w:t xml:space="preserve">-transformed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ratio of S</w:t>
      </w:r>
      <w:r>
        <w:rPr>
          <w:vertAlign w:val="subscript"/>
        </w:rPr>
        <w:t xml:space="preserve">275-295</w:t>
      </w:r>
      <w:r>
        <w:t xml:space="preserve"> </w:t>
      </w:r>
      <w:r>
        <w:t xml:space="preserve">to S</w:t>
      </w:r>
      <w:r>
        <w:rPr>
          <w:vertAlign w:val="subscript"/>
        </w:rPr>
        <w:t xml:space="preserve">350-400</w:t>
      </w:r>
      <w:r>
        <w:t xml:space="preserve"> </w:t>
      </w:r>
      <w:r>
        <w:t xml:space="preserve">and 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similar parameter is a quotient called E</w:t>
      </w:r>
      <w:r>
        <w:rPr>
          <w:vertAlign w:val="subscript"/>
        </w:rPr>
        <w:t xml:space="preserve">2</w:t>
      </w:r>
      <w:r>
        <w:t xml:space="preserve">:E</w:t>
      </w:r>
      <w:r>
        <w:rPr>
          <w:vertAlign w:val="subscript"/>
        </w:rPr>
        <w:t xml:space="preserve">3</w:t>
      </w:r>
      <w:r>
        <w:t xml:space="preserve">, which is the ratio of absorbances at wavelengths 250-nm and 365-nm,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4"/>
      </w:pPr>
      <w:bookmarkStart w:id="49" w:name="quality-assurance-quality-control"/>
      <w:r>
        <w:t xml:space="preserve">Quality Assurance &amp; Quality Control</w:t>
      </w:r>
      <w:bookmarkEnd w:id="49"/>
    </w:p>
    <w:p>
      <w:pPr>
        <w:pStyle w:val="FirstParagraph"/>
      </w:pPr>
      <w:r>
        <w:t xml:space="preserve">UBC based laboratory QA/QC included analysis of blanks and replicate samples. A calibration curve was generated for the Shimadzu TOC-V each time the zero-air gas cylinder was replaced and accuracy was ensured with analysis of calibration verification standards. Analytical accuracy was determined to be 3.7% based on analysis of 20 calibration verification standards included throughout sample analyses.</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unfiltered water samples that had detectable turbidity (greater than 0.000 FTU) were removed from data analysis; this reduced the spectral dataset by 9.5%.</w:t>
      </w:r>
    </w:p>
    <w:p>
      <w:pPr>
        <w:pStyle w:val="Heading5"/>
      </w:pPr>
      <w:bookmarkStart w:id="50" w:name="Xb49dd4c0b515bc8a91642612f15dfcdf94bc60b"/>
      <w:r>
        <w:t xml:space="preserve">Siphon sampler assumptions: vertical rack sampling</w:t>
      </w:r>
      <w:bookmarkEnd w:id="50"/>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where a tap water sample was collected by siphon sample bottle, food colouring was added to flow system after sample collection and circulated for 15 minutes, then the sample bottle was removed from dye chamber and the colour of the sample was compared to surrounding dyed water. There was no dye present in sample bottle following this test, which was repeated five times with different siphon-lid bottles.</w:t>
      </w:r>
    </w:p>
    <w:p>
      <w:pPr>
        <w:pStyle w:val="Heading5"/>
      </w:pPr>
      <w:bookmarkStart w:id="51" w:name="X18414ca0ac976bec608d87f335c5387fae6ac47"/>
      <w:r>
        <w:t xml:space="preserve">Sample hold-times and temperatures: vertical rack sampling</w:t>
      </w:r>
      <w:bookmarkEnd w:id="51"/>
    </w:p>
    <w:p>
      <w:pPr>
        <w:pStyle w:val="FirstParagraph"/>
      </w:pPr>
      <w:r>
        <w:t xml:space="preserve">Every effort was made to retrieve rack samples as quickly as possible from the racks; none the less, some samples remained on a rack for more than a few days due to logistical, access and safety considerations. Hobo TidbiT temperature sensors were deployed at each vertical rack to monitor air and water temperature, which was used in estimates of sample stability between sample collection and retrieval from racks.</w:t>
      </w:r>
    </w:p>
    <w:p>
      <w:pPr>
        <w:pStyle w:val="BodyText"/>
      </w:pPr>
      <w:r>
        <w:t xml:space="preserve">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 (details in results section).</w:t>
      </w:r>
    </w:p>
    <w:p>
      <w:pPr>
        <w:pStyle w:val="Heading2"/>
      </w:pPr>
      <w:bookmarkStart w:id="52" w:name="results"/>
      <w:r>
        <w:t xml:space="preserve">Results</w:t>
      </w:r>
      <w:bookmarkEnd w:id="52"/>
    </w:p>
    <w:p>
      <w:pPr>
        <w:pStyle w:val="Heading3"/>
      </w:pPr>
      <w:bookmarkStart w:id="53" w:name="Xf03249ddafa1d2a683b9220335a3b696c05a3f3"/>
      <w:r>
        <w:t xml:space="preserve">Weather: precipitation and temperature from CRD weather stations</w:t>
      </w:r>
      <w:bookmarkEnd w:id="53"/>
    </w:p>
    <w:p>
      <w:pPr>
        <w:pStyle w:val="FirstParagraph"/>
      </w:pPr>
      <w:r>
        <w:t xml:space="preserve">The Capital Regional District (CRD) provided data from two fire-weather (</w:t>
      </w:r>
      <w:r>
        <w:t xml:space="preserve">“</w:t>
      </w:r>
      <w:r>
        <w:t xml:space="preserve">FWx</w:t>
      </w:r>
      <w:r>
        <w:t xml:space="preserve">”</w:t>
      </w:r>
      <w:r>
        <w:t xml:space="preserve">)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Average precipitation and air temperature are shown in Figure</w:t>
      </w:r>
      <w:r>
        <w:t xml:space="preserve"> </w:t>
      </w:r>
      <w:r>
        <w:t xml:space="preserve">6</w:t>
      </w:r>
      <w:r>
        <w:t xml:space="preserve">, with the study period highlighted.</w:t>
      </w:r>
    </w:p>
    <w:p>
      <w:pPr>
        <w:pStyle w:val="BodyText"/>
      </w:pPr>
      <w:r>
        <w:t xml:space="preserve"> </w:t>
      </w:r>
    </w:p>
    <w:p>
      <w:pPr>
        <w:pStyle w:val="BodyText"/>
      </w:pPr>
      <w:r>
        <w:drawing>
          <wp:inline>
            <wp:extent cx="5504749" cy="5504749"/>
            <wp:effectExtent b="0" l="0" r="0" t="0"/>
            <wp:docPr descr="Figure 6: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4"/>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Table</w:t>
      </w:r>
      <w:r>
        <w:t xml:space="preserve"> </w:t>
      </w:r>
      <w:r>
        <w:t xml:space="preserve">5</w:t>
      </w:r>
      <w:r>
        <w:t xml:space="preserve"> </w:t>
      </w:r>
      <w:r>
        <w:t xml:space="preserve">summarizes weather data by calender year, as well as the very wet period of January and February, 2020. It was assumed that the arithmetic means of rainfall were representative of rain conditions across the Leech watershed and these values were used to define rain events (section</w:t>
      </w:r>
      <w:r>
        <w:t xml:space="preserve"> </w:t>
      </w:r>
      <w:r>
        <w:t xml:space="preserve">5.3.1.0.1</w:t>
      </w:r>
      <w:r>
        <w:t xml:space="preserve">). Mean LWSA temperatures were compared to temperatures recorded at each installation site (section</w:t>
      </w:r>
      <w:r>
        <w:t xml:space="preserve"> </w:t>
      </w:r>
      <w:r>
        <w:t xml:space="preserve">5.3.1.2</w:t>
      </w:r>
      <w:r>
        <w:t xml:space="preserve">). As the CRD FWx stations are situated at elevation, snow depth records were not assumed to be representative of snow cover across the LWSA; however, snow melt contributed to runoff and recorded stage change at the six installation sites.</w:t>
      </w:r>
    </w:p>
    <w:p>
      <w:pPr>
        <w:pStyle w:val="BodyText"/>
      </w:pPr>
      <w:r>
        <w:t xml:space="preserve"> </w:t>
      </w:r>
    </w:p>
    <w:p>
      <w:pPr>
        <w:pStyle w:val="TableCaption"/>
      </w:pPr>
      <w:r>
        <w:t xml:space="preserve">Table 5:</w:t>
      </w:r>
      <w:r>
        <w:t xml:space="preserve"> </w:t>
      </w:r>
      <w:r>
        <w:rPr>
          <w:i/>
        </w:rPr>
        <w:t xml:space="preserve">Average weather data from CRD stations in Leech water supply area in 2018 and 2019</w:t>
      </w:r>
    </w:p>
    <w:tbl>
      <w:tblPr>
        <w:tblStyle w:val="Table"/>
        <w:tblW w:type="pct" w:w="0.0"/>
        <w:tblLook w:firstRow="1"/>
        <w:tblCaption w:val="Table 5: Average weather data from CRD stations in Leech water supply area in 2018 and 2019"/>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accum. (m)</w:t>
            </w:r>
          </w:p>
        </w:tc>
        <w:tc>
          <w:tcPr>
            <w:tcBorders>
              <w:bottom w:val="single"/>
            </w:tcBorders>
            <w:vAlign w:val="bottom"/>
          </w:tcPr>
          <w:p>
            <w:pPr>
              <w:pStyle w:val="Compact"/>
              <w:jc w:val="right"/>
            </w:pPr>
            <w:r>
              <w:t xml:space="preserve">mean temp. (°C)</w:t>
            </w:r>
          </w:p>
        </w:tc>
        <w:tc>
          <w:tcPr>
            <w:tcBorders>
              <w:bottom w:val="single"/>
            </w:tcBorders>
            <w:vAlign w:val="bottom"/>
          </w:tcPr>
          <w:p>
            <w:pPr>
              <w:pStyle w:val="Compact"/>
              <w:jc w:val="right"/>
            </w:pPr>
            <w:r>
              <w:t xml:space="preserve">st.dev temp.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max.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3.09</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3.09</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 &amp; Feb 2020</w:t>
            </w:r>
          </w:p>
        </w:tc>
        <w:tc>
          <w:p>
            <w:pPr>
              <w:pStyle w:val="Compact"/>
              <w:jc w:val="right"/>
            </w:pPr>
            <w:r>
              <w:t xml:space="preserve">883.8</w:t>
            </w:r>
          </w:p>
        </w:tc>
        <w:tc>
          <w:p>
            <w:pPr>
              <w:pStyle w:val="Compact"/>
              <w:jc w:val="right"/>
            </w:pPr>
            <w:r>
              <w:t xml:space="preserve">65.8</w:t>
            </w:r>
          </w:p>
        </w:tc>
        <w:tc>
          <w:p>
            <w:pPr>
              <w:pStyle w:val="Compact"/>
              <w:jc w:val="right"/>
            </w:pPr>
            <w:r>
              <w:t xml:space="preserve">3.09</w:t>
            </w:r>
          </w:p>
        </w:tc>
        <w:tc>
          <w:p>
            <w:pPr>
              <w:pStyle w:val="Compact"/>
              <w:jc w:val="right"/>
            </w:pPr>
            <w:r>
              <w:t xml:space="preserve">1.90</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5"/>
      </w:pPr>
      <w:bookmarkStart w:id="55" w:name="events"/>
      <w:r>
        <w:t xml:space="preserve">Rain events</w:t>
      </w:r>
      <w:bookmarkEnd w:id="55"/>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6</w:t>
      </w:r>
      <w:r>
        <w:t xml:space="preserve"> </w:t>
      </w:r>
      <w:r>
        <w:t xml:space="preserve">summarizes the eighteen major rain events that occurred during the study period (2018-10-23 to 2020-02-20).</w:t>
      </w:r>
    </w:p>
    <w:p>
      <w:pPr>
        <w:pStyle w:val="BodyText"/>
      </w:pPr>
      <w:r>
        <w:t xml:space="preserve"> </w:t>
      </w:r>
    </w:p>
    <w:p>
      <w:pPr>
        <w:pStyle w:val="TableCaption"/>
      </w:pPr>
      <w:r>
        <w:t xml:space="preserve">Table 6:</w:t>
      </w:r>
      <w:r>
        <w:t xml:space="preserve"> </w:t>
      </w:r>
      <w:r>
        <w:rPr>
          <w:i/>
        </w:rPr>
        <w:t xml:space="preserve">Rain events defined by a threshold of 50mm with 14-hour inter-event period</w:t>
      </w:r>
    </w:p>
    <w:tbl>
      <w:tblPr>
        <w:tblStyle w:val="Table"/>
        <w:tblW w:type="pct" w:w="0.0"/>
        <w:tblLook w:firstRow="1"/>
        <w:tblCaption w:val="Table 6: Rain events defined by a threshold of 50mm with 14-hour inter-event period"/>
      </w:tblPr>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2.4</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70.5</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t xml:space="preserve"> </w:t>
      </w:r>
    </w:p>
    <w:p>
      <w:pPr>
        <w:pStyle w:val="BodyText"/>
      </w:pPr>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56"/>
      </w:r>
      <w:r>
        <w:t xml:space="preserve"> </w:t>
      </w:r>
      <w:r>
        <w:t xml:space="preserve">Luckily, the level-loggers were found downstream in February and (after drying the circuit boards) the data were successfully retrieved from both Odyssey loggers. Figure</w:t>
      </w:r>
      <w:r>
        <w:t xml:space="preserve"> </w:t>
      </w:r>
      <w:r>
        <w:t xml:space="preserve">7</w:t>
      </w:r>
      <w:r>
        <w:t xml:space="preserve"> </w:t>
      </w:r>
      <w:r>
        <w:t xml:space="preserve">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w:t>
      </w:r>
      <w:r>
        <w:t xml:space="preserve"> </w:t>
      </w:r>
      <w:r>
        <w:t xml:space="preserve">7</w:t>
      </w:r>
      <w:r>
        <w:t xml:space="preserve">.</w:t>
      </w:r>
    </w:p>
    <w:p>
      <w:pPr>
        <w:pStyle w:val="BodyText"/>
      </w:pPr>
      <w:r>
        <w:t xml:space="preserve"> </w:t>
      </w:r>
    </w:p>
    <w:p>
      <w:pPr>
        <w:pStyle w:val="CaptionedFigure"/>
      </w:pPr>
      <w:r>
        <w:drawing>
          <wp:inline>
            <wp:extent cx="5943600" cy="7924799"/>
            <wp:effectExtent b="0" l="0" r="0" t="0"/>
            <wp:docPr descr="Figure 7: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57"/>
                    <a:stretch>
                      <a:fillRect/>
                    </a:stretch>
                  </pic:blipFill>
                  <pic:spPr bwMode="auto">
                    <a:xfrm>
                      <a:off x="0" y="0"/>
                      <a:ext cx="5943600" cy="7924799"/>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Precipitation, rain events (as vertical lines), stream rise and sample collection at six sites across the LWSA.</w:t>
      </w:r>
    </w:p>
    <w:p>
      <w:pPr>
        <w:pStyle w:val="BodyText"/>
      </w:pPr>
      <w:r>
        <w:t xml:space="preserve"> </w:t>
      </w:r>
    </w:p>
    <w:p>
      <w:pPr>
        <w:pStyle w:val="TableCaption"/>
      </w:pPr>
      <w:r>
        <w:t xml:space="preserve">Table 7:</w:t>
      </w:r>
      <w:r>
        <w:t xml:space="preserve"> </w:t>
      </w:r>
      <w:r>
        <w:rPr>
          <w:i/>
        </w:rPr>
        <w:t xml:space="preserve">Minimum and maximum rain event values</w:t>
      </w:r>
      <w:r>
        <w:rPr>
          <w:i/>
        </w:rPr>
        <w:t xml:space="preserve"> </w:t>
      </w:r>
    </w:p>
    <w:tbl>
      <w:tblPr>
        <w:tblStyle w:val="Table"/>
        <w:tblW w:type="pct" w:w="0.0"/>
        <w:tblLook w:firstRow="1"/>
        <w:tblCaption w:val="Table 7: Minimum and maximum rain event values "/>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2.4</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58" w:name="temperature-at-vertical-racks"/>
      <w:r>
        <w:t xml:space="preserve">Temperature at vertical racks</w:t>
      </w:r>
      <w:bookmarkEnd w:id="58"/>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8</w:t>
      </w:r>
      <w:r>
        <w:t xml:space="preserve">).</w:t>
      </w:r>
    </w:p>
    <w:p>
      <w:pPr>
        <w:pStyle w:val="CaptionedFigure"/>
      </w:pPr>
      <w:r>
        <w:drawing>
          <wp:inline>
            <wp:extent cx="5504749" cy="5504749"/>
            <wp:effectExtent b="0" l="0" r="0" t="0"/>
            <wp:docPr descr="Figure 8: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5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8:</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9</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9: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60"/>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9:</w:t>
      </w:r>
      <w:r>
        <w:t xml:space="preserve"> </w:t>
      </w:r>
      <w:r>
        <w:rPr>
          <w:i/>
        </w:rPr>
        <w:t xml:space="preserve">Temperatures recorded in air and water on vertical racks at each research site.</w:t>
      </w:r>
    </w:p>
    <w:p>
      <w:pPr>
        <w:pStyle w:val="BodyText"/>
      </w:pPr>
      <w:r>
        <w:t xml:space="preserve"> </w:t>
      </w:r>
    </w:p>
    <w:p>
      <w:pPr>
        <w:pStyle w:val="Heading4"/>
      </w:pPr>
      <w:bookmarkStart w:id="61" w:name="Hobo"/>
      <w:r>
        <w:t xml:space="preserve">Air temperature comparison &amp; linear regression</w:t>
      </w:r>
      <w:bookmarkEnd w:id="61"/>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10</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10: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6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10:</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8</w:t>
      </w:r>
      <w:r>
        <w:t xml:space="preserve">) with no statistical difference (at 90% confidence) for Cragg Crk, West Leech and the Tunnel (sites 4, 5, 6).</w:t>
      </w:r>
    </w:p>
    <w:p>
      <w:pPr>
        <w:pStyle w:val="BodyText"/>
      </w:pPr>
      <w:r>
        <w:t xml:space="preserve"> </w:t>
      </w:r>
    </w:p>
    <w:p>
      <w:pPr>
        <w:pStyle w:val="TableCaption"/>
      </w:pPr>
      <w:r>
        <w:t xml:space="preserve">Table 8:</w:t>
      </w:r>
      <w:r>
        <w:t xml:space="preserve"> </w:t>
      </w:r>
      <w:r>
        <w:rPr>
          <w:i/>
        </w:rPr>
        <w:t xml:space="preserve">Relationships between air temperature recorded at each research site compared to mean air temperature recorded by LWSA weather stations.</w:t>
      </w:r>
    </w:p>
    <w:tbl>
      <w:tblPr>
        <w:tblStyle w:val="Table"/>
        <w:tblW w:type="pct" w:w="0.0"/>
        <w:tblLook w:firstRow="1"/>
        <w:tblCaption w:val="Table 8: Relationships between air temperature recorded at each research site compared to mean air temperature recorded by LWSA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0.0016</w:t>
            </w:r>
          </w:p>
        </w:tc>
      </w:tr>
      <w:tr>
        <w:tc>
          <w:p>
            <w:pPr>
              <w:pStyle w:val="Compact"/>
              <w:jc w:val="left"/>
            </w:pPr>
            <w:r>
              <w:t xml:space="preserve">ChrisCrk</w:t>
            </w:r>
          </w:p>
        </w:tc>
        <w:tc>
          <w:p>
            <w:pPr>
              <w:pStyle w:val="Compact"/>
              <w:jc w:val="right"/>
            </w:pPr>
            <w:r>
              <w:t xml:space="preserve">0.0071</w:t>
            </w:r>
          </w:p>
        </w:tc>
      </w:tr>
      <w:tr>
        <w:tc>
          <w:p>
            <w:pPr>
              <w:pStyle w:val="Compact"/>
              <w:jc w:val="left"/>
            </w:pPr>
            <w:r>
              <w:t xml:space="preserve">LeechHead</w:t>
            </w:r>
          </w:p>
        </w:tc>
        <w:tc>
          <w:p>
            <w:pPr>
              <w:pStyle w:val="Compact"/>
              <w:jc w:val="right"/>
            </w:pPr>
            <w:r>
              <w:t xml:space="preserve">0.0010</w:t>
            </w:r>
          </w:p>
        </w:tc>
      </w:tr>
      <w:tr>
        <w:tc>
          <w:p>
            <w:pPr>
              <w:pStyle w:val="Compact"/>
              <w:jc w:val="left"/>
            </w:pPr>
            <w:r>
              <w:t xml:space="preserve">CraggCrk</w:t>
            </w:r>
          </w:p>
        </w:tc>
        <w:tc>
          <w:p>
            <w:pPr>
              <w:pStyle w:val="Compact"/>
              <w:jc w:val="right"/>
            </w:pPr>
            <w:r>
              <w:t xml:space="preserve">0.0472</w:t>
            </w:r>
          </w:p>
        </w:tc>
      </w:tr>
      <w:tr>
        <w:tc>
          <w:p>
            <w:pPr>
              <w:pStyle w:val="Compact"/>
              <w:jc w:val="left"/>
            </w:pPr>
            <w:r>
              <w:t xml:space="preserve">WestLeech</w:t>
            </w:r>
          </w:p>
        </w:tc>
        <w:tc>
          <w:p>
            <w:pPr>
              <w:pStyle w:val="Compact"/>
              <w:jc w:val="right"/>
            </w:pPr>
            <w:r>
              <w:t xml:space="preserve">0.5757</w:t>
            </w:r>
          </w:p>
        </w:tc>
      </w:tr>
      <w:tr>
        <w:tc>
          <w:p>
            <w:pPr>
              <w:pStyle w:val="Compact"/>
              <w:jc w:val="left"/>
            </w:pPr>
            <w:r>
              <w:t xml:space="preserve">Tunnel</w:t>
            </w:r>
          </w:p>
        </w:tc>
        <w:tc>
          <w:p>
            <w:pPr>
              <w:pStyle w:val="Compact"/>
              <w:jc w:val="right"/>
            </w:pPr>
            <w:r>
              <w:t xml:space="preserve">0.2927</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11</w:t>
      </w:r>
      <w:r>
        <w:t xml:space="preserve">). Table</w:t>
      </w:r>
      <w:r>
        <w:t xml:space="preserve"> </w:t>
      </w:r>
      <w:r>
        <w:t xml:space="preserve">9</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9:</w:t>
      </w:r>
      <w:r>
        <w:t xml:space="preserve"> </w:t>
      </w:r>
      <w:r>
        <w:rPr>
          <w:i/>
        </w:rPr>
        <w:t xml:space="preserve">Summary of predicted air temperature at each site compared to mean LWSA temperature from CRD FWx stations for the same time period</w:t>
      </w:r>
    </w:p>
    <w:tbl>
      <w:tblPr>
        <w:tblStyle w:val="Table"/>
        <w:tblW w:type="pct" w:w="0.0"/>
        <w:tblLook w:firstRow="1"/>
        <w:tblCaption w:val="Table 9: Summary of predicted air temperature at each site compared to mean LWSA temperature from CRD FWx stations for the same time perio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35.0</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15.3</w:t>
            </w:r>
          </w:p>
        </w:tc>
        <w:tc>
          <w:p>
            <w:pPr>
              <w:pStyle w:val="Compact"/>
              <w:jc w:val="right"/>
            </w:pPr>
            <w:r>
              <w:t xml:space="preserve">17.7</w:t>
            </w:r>
          </w:p>
        </w:tc>
      </w:tr>
      <w:tr>
        <w:tc>
          <w:p>
            <w:pPr>
              <w:pStyle w:val="Compact"/>
              <w:jc w:val="left"/>
            </w:pPr>
            <w:r>
              <w:t xml:space="preserve">ChrisCrk</w:t>
            </w:r>
          </w:p>
        </w:tc>
        <w:tc>
          <w:p>
            <w:pPr>
              <w:pStyle w:val="Compact"/>
              <w:jc w:val="right"/>
            </w:pPr>
            <w:r>
              <w:t xml:space="preserve">-10.7</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15.6</w:t>
            </w:r>
          </w:p>
        </w:tc>
        <w:tc>
          <w:p>
            <w:pPr>
              <w:pStyle w:val="Compact"/>
              <w:jc w:val="right"/>
            </w:pPr>
            <w:r>
              <w:t xml:space="preserve">18.0</w:t>
            </w:r>
          </w:p>
        </w:tc>
      </w:tr>
      <w:tr>
        <w:tc>
          <w:p>
            <w:pPr>
              <w:pStyle w:val="Compact"/>
              <w:jc w:val="left"/>
            </w:pPr>
            <w:r>
              <w:t xml:space="preserve">LeechHead</w:t>
            </w:r>
          </w:p>
        </w:tc>
        <w:tc>
          <w:p>
            <w:pPr>
              <w:pStyle w:val="Compact"/>
              <w:jc w:val="right"/>
            </w:pPr>
            <w:r>
              <w:t xml:space="preserve">-28.9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15.7</w:t>
            </w:r>
          </w:p>
        </w:tc>
        <w:tc>
          <w:p>
            <w:pPr>
              <w:pStyle w:val="Compact"/>
              <w:jc w:val="right"/>
            </w:pPr>
            <w:r>
              <w:t xml:space="preserve">17.2</w:t>
            </w:r>
          </w:p>
        </w:tc>
      </w:tr>
      <w:tr>
        <w:tc>
          <w:p>
            <w:pPr>
              <w:pStyle w:val="Compact"/>
              <w:jc w:val="left"/>
            </w:pPr>
            <w:r>
              <w:t xml:space="preserve">CraggCrk</w:t>
            </w:r>
          </w:p>
        </w:tc>
        <w:tc>
          <w:p>
            <w:pPr>
              <w:pStyle w:val="Compact"/>
              <w:jc w:val="right"/>
            </w:pPr>
            <w:r>
              <w:t xml:space="preserve">84.2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17.2</w:t>
            </w:r>
          </w:p>
        </w:tc>
        <w:tc>
          <w:p>
            <w:pPr>
              <w:pStyle w:val="Compact"/>
              <w:jc w:val="right"/>
            </w:pPr>
            <w:r>
              <w:t xml:space="preserve">18.9</w:t>
            </w:r>
          </w:p>
        </w:tc>
      </w:tr>
      <w:tr>
        <w:tc>
          <w:p>
            <w:pPr>
              <w:pStyle w:val="Compact"/>
              <w:jc w:val="left"/>
            </w:pPr>
            <w:r>
              <w:t xml:space="preserve">WestLeech</w:t>
            </w:r>
          </w:p>
        </w:tc>
        <w:tc>
          <w:p>
            <w:pPr>
              <w:pStyle w:val="Compact"/>
              <w:jc w:val="right"/>
            </w:pPr>
            <w:r>
              <w:t xml:space="preserve">-61.1</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16.5</w:t>
            </w:r>
          </w:p>
        </w:tc>
        <w:tc>
          <w:p>
            <w:pPr>
              <w:pStyle w:val="Compact"/>
              <w:jc w:val="right"/>
            </w:pPr>
            <w:r>
              <w:t xml:space="preserve">18.4</w:t>
            </w:r>
          </w:p>
        </w:tc>
      </w:tr>
      <w:tr>
        <w:tc>
          <w:p>
            <w:pPr>
              <w:pStyle w:val="Compact"/>
              <w:jc w:val="left"/>
            </w:pPr>
            <w:r>
              <w:t xml:space="preserve">Tunnel</w:t>
            </w:r>
          </w:p>
        </w:tc>
        <w:tc>
          <w:p>
            <w:pPr>
              <w:pStyle w:val="Compact"/>
              <w:jc w:val="right"/>
            </w:pPr>
            <w:r>
              <w:t xml:space="preserve">-6.9</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20.5</w:t>
            </w:r>
          </w:p>
        </w:tc>
        <w:tc>
          <w:p>
            <w:pPr>
              <w:pStyle w:val="Compact"/>
              <w:jc w:val="right"/>
            </w:pPr>
            <w:r>
              <w:t xml:space="preserve">19.5</w:t>
            </w:r>
          </w:p>
        </w:tc>
      </w:tr>
    </w:tbl>
    <w:p>
      <w:pPr>
        <w:pStyle w:val="BodyText"/>
      </w:pPr>
      <w:r>
        <w:t xml:space="preserve"> </w:t>
      </w:r>
    </w:p>
    <w:p>
      <w:pPr>
        <w:pStyle w:val="CaptionedFigure"/>
      </w:pPr>
      <w:r>
        <w:drawing>
          <wp:inline>
            <wp:extent cx="5943600" cy="5943600"/>
            <wp:effectExtent b="0" l="0" r="0" t="0"/>
            <wp:docPr descr="Figure 11: 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6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w:t>
      </w:r>
      <w:r>
        <w:t xml:space="preserve"> </w:t>
      </w:r>
      <w:r>
        <w:rPr>
          <w:i/>
        </w:rPr>
        <w:t xml:space="preserve">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w:t>
      </w:r>
    </w:p>
    <w:p>
      <w:pPr>
        <w:pStyle w:val="BodyText"/>
      </w:pPr>
      <w:r>
        <w:t xml:space="preserve"> </w:t>
      </w:r>
    </w:p>
    <w:p>
      <w:pPr>
        <w:pStyle w:val="Heading3"/>
      </w:pPr>
      <w:bookmarkStart w:id="64" w:name="X2684ecebb5dfc6a442fe78aedab729c4b3876f7"/>
      <w:r>
        <w:t xml:space="preserve">Quality control: vertical rack hold-time experiments</w:t>
      </w:r>
      <w:bookmarkEnd w:id="64"/>
    </w:p>
    <w:p>
      <w:pPr>
        <w:pStyle w:val="FirstParagraph"/>
      </w:pPr>
      <w:r>
        <w:t xml:space="preserve">Hold-time experiments were conducted at the Tunnel site to assess stability of river water samples held in siphon bottles on the vertical rack. Figure</w:t>
      </w:r>
      <w:r>
        <w:t xml:space="preserve"> </w:t>
      </w:r>
      <w:r>
        <w:t xml:space="preserve">12</w:t>
      </w:r>
      <w:r>
        <w:t xml:space="preserve"> </w:t>
      </w:r>
      <w:r>
        <w:t xml:space="preserve">summarizes air temperature and timing of the three hold-time sets.</w:t>
      </w:r>
    </w:p>
    <w:p>
      <w:pPr>
        <w:pStyle w:val="BodyText"/>
      </w:pPr>
      <w:r>
        <w:t xml:space="preserve"> </w:t>
      </w:r>
    </w:p>
    <w:p>
      <w:pPr>
        <w:pStyle w:val="CaptionedFigure"/>
      </w:pPr>
      <w:r>
        <w:drawing>
          <wp:inline>
            <wp:extent cx="5504749" cy="5046020"/>
            <wp:effectExtent b="0" l="0" r="0" t="0"/>
            <wp:docPr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5"/>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12:</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Figure</w:t>
      </w:r>
      <w:r>
        <w:t xml:space="preserve"> </w:t>
      </w:r>
      <w:r>
        <w:t xml:space="preserve">13</w:t>
      </w:r>
      <w:r>
        <w:t xml:space="preserve"> </w:t>
      </w:r>
      <w:r>
        <w:t xml:space="preserve">shows results of sample analyses for DOC and UV</w:t>
      </w:r>
      <w:r>
        <w:rPr>
          <w:vertAlign w:val="subscript"/>
        </w:rPr>
        <w:t xml:space="preserve">254</w:t>
      </w:r>
      <w:r>
        <w:t xml:space="preserve"> </w:t>
      </w:r>
      <w:r>
        <w:t xml:space="preserve">absorbance of the fresh and held samples of each set, Hold-time sets were compared using two-sided paired Wilcoxon signed rank tests (a.k.a</w:t>
      </w:r>
      <w:r>
        <w:t xml:space="preserve"> </w:t>
      </w:r>
      <w:r>
        <w:t xml:space="preserve">‘</w:t>
      </w:r>
      <w:r>
        <w:t xml:space="preserve">Mann-Whitney</w:t>
      </w:r>
      <w:r>
        <w:t xml:space="preserve">’</w:t>
      </w:r>
      <w:r>
        <w:t xml:space="preserve"> </w:t>
      </w:r>
      <w:r>
        <w:t xml:space="preserve">test)</w:t>
      </w:r>
      <w:r>
        <w:rPr>
          <w:rStyle w:val="FootnoteReference"/>
        </w:rPr>
        <w:footnoteReference w:id="66"/>
      </w:r>
      <w:r>
        <w:t xml:space="preserve"> </w:t>
      </w:r>
      <w:r>
        <w:t xml:space="preserve">and Table</w:t>
      </w:r>
      <w:r>
        <w:t xml:space="preserve"> </w:t>
      </w:r>
      <w:r>
        <w:t xml:space="preserve">10</w:t>
      </w:r>
      <w:r>
        <w:t xml:space="preserve"> </w:t>
      </w:r>
      <w:r>
        <w:t xml:space="preserve">summarizes the number of days the rack samples were held, the mean air temperature over that period, and the percent change in DOC concentration and UV absorbance at 254nm, as well as Wilcoxon test results comparing fresh and held samples.</w:t>
      </w:r>
    </w:p>
    <w:p>
      <w:pPr>
        <w:pStyle w:val="BodyText"/>
      </w:pPr>
      <w:r>
        <w:t xml:space="preserve"> </w:t>
      </w:r>
    </w:p>
    <w:p>
      <w:pPr>
        <w:pStyle w:val="CaptionedFigure"/>
      </w:pPr>
      <w:r>
        <w:drawing>
          <wp:inline>
            <wp:extent cx="5943600" cy="3668888"/>
            <wp:effectExtent b="0" l="0" r="0" t="0"/>
            <wp:docPr descr="Figure 13: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13:</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10:</w:t>
      </w:r>
      <w:r>
        <w:t xml:space="preserve"> </w:t>
      </w:r>
      <w:r>
        <w:rPr>
          <w:i/>
        </w:rPr>
        <w:t xml:space="preserve">Results comparing hold-time sample sets</w:t>
      </w:r>
    </w:p>
    <w:tbl>
      <w:tblPr>
        <w:tblStyle w:val="Table"/>
        <w:tblW w:type="pct" w:w="0.0"/>
        <w:tblLook w:firstRow="1"/>
        <w:tblCaption w:val="Table 10: Results comparing hold-time sample sets"/>
      </w:tblPr>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Temp range</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UV 254 change (%)</w:t>
            </w:r>
          </w:p>
        </w:tc>
        <w:tc>
          <w:tcPr>
            <w:tcBorders>
              <w:bottom w:val="single"/>
            </w:tcBorders>
            <w:vAlign w:val="bottom"/>
          </w:tcPr>
          <w:p>
            <w:pPr>
              <w:pStyle w:val="Compact"/>
              <w:jc w:val="left"/>
            </w:pPr>
            <w:r>
              <w:t xml:space="preserve">sig.diff (UV 254)</w:t>
            </w:r>
          </w:p>
        </w:tc>
        <w:tc>
          <w:tcPr>
            <w:tcBorders>
              <w:bottom w:val="single"/>
            </w:tcBorders>
            <w:vAlign w:val="bottom"/>
          </w:tcPr>
          <w:p>
            <w:pPr>
              <w:pStyle w:val="Compact"/>
              <w:jc w:val="right"/>
            </w:pPr>
            <w:r>
              <w:t xml:space="preserve">p-value (UV 254)</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r>
    </w:tbl>
    <w:p>
      <w:pPr>
        <w:pStyle w:val="BodyText"/>
      </w:pPr>
      <w:r>
        <w:t xml:space="preserve"> </w:t>
      </w:r>
    </w:p>
    <w:p>
      <w:pPr>
        <w:pStyle w:val="BodyText"/>
      </w:pPr>
      <w:r>
        <w:t xml:space="preserve">While there was no change in UV absorbance for samples from hold-time set-A, there was a significant (at 90% confidence level) change in DOC concentration (p-value = 0.063).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7°C (slightly above laboratory refrigerator temperatures). For set-A, mean DOC concentration was 45% lower in the held samples compared to the fresh grab samples. Set-B had a hold-time of 20 days with average air temperature at 6°C and there was no significant changes in either DOC concentration or UV</w:t>
      </w:r>
      <w:r>
        <w:rPr>
          <w:vertAlign w:val="subscript"/>
        </w:rPr>
        <w:t xml:space="preserve">254</w:t>
      </w:r>
      <w:r>
        <w:t xml:space="preserve"> </w:t>
      </w:r>
      <w:r>
        <w:t xml:space="preserve">(&lt;10% change). Hold-time Set-C included samples held for 34 days at an average of 4.4°C, including a period of sub-zero temperatures. While set-C did not show significant changes in DOC concentration (23% reduction), there were significant changes to UV</w:t>
      </w:r>
      <w:r>
        <w:rPr>
          <w:vertAlign w:val="subscript"/>
        </w:rPr>
        <w:t xml:space="preserve">254</w:t>
      </w:r>
      <w:r>
        <w:t xml:space="preserve"> </w:t>
      </w:r>
      <w:r>
        <w:t xml:space="preserve">(34% decrease in absorbance). In addition to the change in absorbance, Set-C held samples had greater variability for both DOC and UV</w:t>
      </w:r>
      <w:r>
        <w:rPr>
          <w:vertAlign w:val="subscript"/>
        </w:rPr>
        <w:t xml:space="preserve">254</w:t>
      </w:r>
      <w:r>
        <w:t xml:space="preserve"> </w:t>
      </w:r>
      <w:r>
        <w:t xml:space="preserve">compared to the fresh sample counterparts.</w:t>
      </w:r>
    </w:p>
    <w:p>
      <w:pPr>
        <w:pStyle w:val="BodyText"/>
      </w:pPr>
      <w:r>
        <w:t xml:space="preserve">These results suggest that early-season (</w:t>
      </w:r>
      <w:r>
        <w:t xml:space="preserve">“</w:t>
      </w:r>
      <w:r>
        <w:t xml:space="preserve">first flush</w:t>
      </w:r>
      <w:r>
        <w:t xml:space="preserve">”</w:t>
      </w:r>
      <w:r>
        <w:t xml:space="preserve">) samples may contain more labile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(set-C) significantly changed sample DOM character via a reduction in aromaticity, and while it did not statistically alter DOC concentration there was a notable increase in held sample DOC standard deviation. Additional tests would be required to determine if the change in DOM character was caused by the length of time the sample was held, or perhaps due only to freezing and thawing, or a combination of both time and temperature.</w:t>
      </w:r>
    </w:p>
    <w:p>
      <w:pPr>
        <w:pStyle w:val="BodyText"/>
      </w:pPr>
      <w:r>
        <w:t xml:space="preserve"> </w:t>
      </w:r>
    </w:p>
    <w:p>
      <w:pPr>
        <w:pStyle w:val="Heading5"/>
      </w:pPr>
      <w:bookmarkStart w:id="68" w:name="qaqc-data-handling"/>
      <w:r>
        <w:t xml:space="preserve">QA/QC data handling</w:t>
      </w:r>
      <w:bookmarkEnd w:id="68"/>
    </w:p>
    <w:p>
      <w:pPr>
        <w:pStyle w:val="FirstParagraph"/>
      </w:pPr>
      <w:r>
        <w:t xml:space="preserve">Based on results of the hold-time experiments, results of sample analyses were updated to include QA/QC data flags. Hold-times were calculated for each sample and Rack samples that remained held for fewer than 20 days at temperatures between 0-7°C were flagged as acceptable (</w:t>
      </w:r>
      <w:r>
        <w:t xml:space="preserve">“</w:t>
      </w:r>
      <w:r>
        <w:t xml:space="preserve">OK</w:t>
      </w:r>
      <w:r>
        <w:t xml:space="preserve">”</w:t>
      </w:r>
      <w:r>
        <w:t xml:space="preserve">). Rack samples that were held for 20 days or longer and samples identified as early-wet-season (</w:t>
      </w:r>
      <w:r>
        <w:t xml:space="preserve">“</w:t>
      </w:r>
      <w:r>
        <w:t xml:space="preserve">first-flush</w:t>
      </w:r>
      <w:r>
        <w:t xml:space="preserve">”</w:t>
      </w:r>
      <w:r>
        <w:t xml:space="preserve">) with a hold-time of 7+ days were flagged as unacceptable. Due to possible freeze-thaw changes, any samples that underwent freezing and thawing were also flagged. QA/QC flags were used to filter data, reducing the number of Rack samples included in analyses by 16.25%. Of 203 Rack samples, 33 were flagged resulting in 170 quality-assured Rack samples included in analyses. Some Grab samples were excluded from analysis due to contamination or</w:t>
      </w:r>
    </w:p>
    <w:p>
      <w:pPr>
        <w:pStyle w:val="Heading3"/>
      </w:pPr>
      <w:bookmarkStart w:id="69" w:name="X206b6dc85f2d0e8717c31364b69e2ee1378e65c"/>
      <w:r>
        <w:t xml:space="preserve">Nested sub-catchments of the Leech watershed</w:t>
      </w:r>
      <w:bookmarkEnd w:id="69"/>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14</w:t>
      </w:r>
      <w:r>
        <w:t xml:space="preserve"> </w:t>
      </w:r>
      <w:r>
        <w:t xml:space="preserve">shows major precipitation events and stream response over the study period as well as the timing and stage of samples collected.</w:t>
      </w:r>
    </w:p>
    <w:p>
      <w:pPr>
        <w:pStyle w:val="BodyText"/>
      </w:pPr>
      <w:r>
        <w:t xml:space="preserve"> </w:t>
      </w:r>
    </w:p>
    <w:p>
      <w:pPr>
        <w:pStyle w:val="CaptionedFigure"/>
      </w:pPr>
      <w:r>
        <w:drawing>
          <wp:inline>
            <wp:extent cx="5504749" cy="7339665"/>
            <wp:effectExtent b="0" l="0" r="0" t="0"/>
            <wp:docPr descr="Figure 14: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70"/>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Heading4"/>
      </w:pPr>
      <w:bookmarkStart w:id="71" w:name="X3e23a4fee248e4ddb03827cda1a3905eeffe037"/>
      <w:r>
        <w:t xml:space="preserve">Spatial and temporal variance and synchrony in river stage</w:t>
      </w:r>
      <w:bookmarkEnd w:id="71"/>
    </w:p>
    <w:p>
      <w:pPr>
        <w:pStyle w:val="FirstParagraph"/>
      </w:pPr>
      <w:r>
        <w:t xml:space="preserve">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pPr>
        <w:pStyle w:val="Heading4"/>
      </w:pPr>
      <w:bookmarkStart w:id="72" w:name="spatial-variance-in-doc-concentrations"/>
      <w:r>
        <w:t xml:space="preserve">Spatial variance in DOC concentrations</w:t>
      </w:r>
      <w:bookmarkEnd w:id="72"/>
    </w:p>
    <w:p>
      <w:pPr>
        <w:pStyle w:val="FirstParagraph"/>
      </w:pPr>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or dangerous to capture by standard grab sampling, particularly across multiple sites. 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11</w:t>
      </w:r>
      <w:r>
        <w:t xml:space="preserve">).</w:t>
      </w:r>
    </w:p>
    <w:p>
      <w:pPr>
        <w:pStyle w:val="BodyText"/>
      </w:pPr>
      <w:r>
        <w:t xml:space="preserve"> </w:t>
      </w:r>
    </w:p>
    <w:p>
      <w:pPr>
        <w:pStyle w:val="TableCaption"/>
      </w:pPr>
      <w:r>
        <w:t xml:space="preserve">Table 11:</w:t>
      </w:r>
      <w:r>
        <w:t xml:space="preserve"> </w:t>
      </w:r>
      <w:r>
        <w:rPr>
          <w:i/>
        </w:rPr>
        <w:t xml:space="preserve">Summary of DOC across the six LWSA installation sites including breakdown of sample type collected.</w:t>
      </w:r>
    </w:p>
    <w:tbl>
      <w:tblPr>
        <w:tblStyle w:val="Table"/>
        <w:tblW w:type="pct" w:w="0.0"/>
        <w:tblLook w:firstRow="1"/>
        <w:tblCaption w:val="Table 11: Summary of DOC across the six LWSA installation sites including breakdown of sample type collected."/>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Figure</w:t>
      </w:r>
      <w:r>
        <w:t xml:space="preserve"> </w:t>
      </w:r>
      <w:r>
        <w:t xml:space="preserve">15</w:t>
      </w:r>
      <w:r>
        <w:t xml:space="preserve"> </w:t>
      </w:r>
      <w:r>
        <w:t xml:space="preserve">shows the distribution of DOC concentrations at each of the six sites. 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w:t>
      </w:r>
    </w:p>
    <w:p>
      <w:pPr>
        <w:pStyle w:val="BodyText"/>
      </w:pPr>
      <w:r>
        <w:t xml:space="preserve"> </w:t>
      </w:r>
    </w:p>
    <w:p>
      <w:pPr>
        <w:pStyle w:val="CaptionedFigure"/>
      </w:pPr>
      <w:r>
        <w:drawing>
          <wp:inline>
            <wp:extent cx="4587290" cy="3669832"/>
            <wp:effectExtent b="0" l="0" r="0" t="0"/>
            <wp:docPr descr="Figure 15: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7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Table</w:t>
      </w:r>
      <w:r>
        <w:t xml:space="preserve"> </w:t>
      </w:r>
      <w:r>
        <w:t xml:space="preserve">12</w:t>
      </w:r>
      <w:r>
        <w:t xml:space="preserve"> </w:t>
      </w:r>
      <w:r>
        <w:t xml:space="preserve">summarizes the range and variability in DOC within each site and among all sites, with categorical groupings of sub-basins.</w:t>
      </w:r>
    </w:p>
    <w:p>
      <w:pPr>
        <w:pStyle w:val="BodyText"/>
      </w:pPr>
      <w:r>
        <w:t xml:space="preserve"> </w:t>
      </w:r>
    </w:p>
    <w:p>
      <w:pPr>
        <w:pStyle w:val="TableCaption"/>
      </w:pPr>
      <w:r>
        <w:t xml:space="preserve">Table 12:</w:t>
      </w:r>
      <w:r>
        <w:t xml:space="preserve"> </w:t>
      </w:r>
      <w:r>
        <w:rPr>
          <w:i/>
        </w:rPr>
        <w:t xml:space="preserve">Summary of DOC across the six LWSA research sites with each nested catchment classified by basin type.</w:t>
      </w:r>
    </w:p>
    <w:tbl>
      <w:tblPr>
        <w:tblStyle w:val="Table"/>
        <w:tblW w:type="pct" w:w="0.0"/>
        <w:tblLook w:firstRow="1"/>
        <w:tblCaption w:val="Table 12: Summary of DOC across the six LWSA research sites with each nested catchment classified by basin typ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74"/>
      </w:r>
    </w:p>
    <w:p>
      <w:pPr>
        <w:pStyle w:val="BodyText"/>
      </w:pPr>
      <w:r>
        <w:t xml:space="preserve">To identify which pairs of sites had equal DOC variance Levene’s test was applied to sample DOC results. Table</w:t>
      </w:r>
      <w:r>
        <w:t xml:space="preserve"> </w:t>
      </w:r>
      <w:r>
        <w:t xml:space="preserve">13</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pPr>
        <w:pStyle w:val="BodyText"/>
      </w:pPr>
      <w:r>
        <w:t xml:space="preserve"> </w:t>
      </w:r>
    </w:p>
    <w:p>
      <w:pPr>
        <w:pStyle w:val="TableCaption"/>
      </w:pPr>
      <w:r>
        <w:t xml:space="preserve">Table 13:</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13: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BodyText"/>
      </w:pPr>
      <w:r>
        <w:t xml:space="preserve"> </w:t>
      </w:r>
    </w:p>
    <w:p>
      <w:pPr>
        <w:pStyle w:val="Heading4"/>
      </w:pPr>
      <w:bookmarkStart w:id="75" w:name="temporal-trends-in-doc-seasonality"/>
      <w:r>
        <w:t xml:space="preserve">Temporal trends in DOC: seasonality</w:t>
      </w:r>
      <w:bookmarkEnd w:id="75"/>
    </w:p>
    <w:p>
      <w:pPr>
        <w:pStyle w:val="FirstParagraph"/>
      </w:pPr>
      <w:r>
        <w:t xml:space="preserve">Over the study period, DOC concentrations followed similar trends across each of the six LWSA sites (Figure</w:t>
      </w:r>
      <w:r>
        <w:t xml:space="preserve"> </w:t>
      </w:r>
      <w:r>
        <w:t xml:space="preserve">16</w:t>
      </w:r>
      <w:r>
        <w:t xml:space="preserve">). DOC was highest early in the wet season and progressively decreased through the fall and winter, reaching minimum concentrations in the spring before progressively increasing again through the summer.</w:t>
      </w:r>
    </w:p>
    <w:p>
      <w:pPr>
        <w:pStyle w:val="BodyText"/>
      </w:pPr>
      <w:r>
        <w:t xml:space="preserve"> </w:t>
      </w:r>
    </w:p>
    <w:p>
      <w:pPr>
        <w:pStyle w:val="CaptionedFigure"/>
      </w:pPr>
      <w:r>
        <w:drawing>
          <wp:inline>
            <wp:extent cx="5504749" cy="5504749"/>
            <wp:effectExtent b="0" l="0" r="0" t="0"/>
            <wp:docPr descr="Figure 16:  Trends in dissolved organic carbon concentrations over sixteen months (Oct 2018 to Feb 2020) at six sites across the Leech water supply area (n = 323: 153 grab samples, 170 vertical rack samples."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7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w:t>
      </w:r>
    </w:p>
    <w:p>
      <w:pPr>
        <w:pStyle w:val="BodyText"/>
      </w:pPr>
      <w:r>
        <w:t xml:space="preserve"> </w:t>
      </w:r>
    </w:p>
    <w:p>
      <w:pPr>
        <w:pStyle w:val="BodyText"/>
      </w:pPr>
      <w:r>
        <w:t xml:space="preserve">Overall, there was very little difference between mean DOC concentration through the wet season (6.2 ± 3 mg/L) compared to the dry season (5.5 ± 3 mg/L). However, there were far fewer samples collected in the dry season than during the wet season (Figure</w:t>
      </w:r>
      <w:r>
        <w:t xml:space="preserve"> </w:t>
      </w:r>
      <w:r>
        <w:t xml:space="preserve">17</w:t>
      </w:r>
      <w:r>
        <w:t xml:space="preserve">.</w:t>
      </w:r>
    </w:p>
    <w:p>
      <w:pPr>
        <w:pStyle w:val="BodyText"/>
      </w:pPr>
      <w:r>
        <w:t xml:space="preserve"> </w:t>
      </w:r>
    </w:p>
    <w:p>
      <w:pPr>
        <w:pStyle w:val="CaptionedFigure"/>
      </w:pPr>
      <w:r>
        <w:drawing>
          <wp:inline>
            <wp:extent cx="5504749" cy="3211103"/>
            <wp:effectExtent b="0" l="0" r="0" t="0"/>
            <wp:docPr descr="Figure 17:  Boxplots of DOC concentrations at six LWSA sites during dry and wet seasons." title="" id="1" name="Picture"/>
            <a:graphic>
              <a:graphicData uri="http://schemas.openxmlformats.org/drawingml/2006/picture">
                <pic:pic>
                  <pic:nvPicPr>
                    <pic:cNvPr descr="R-outputs_UBC-forWater-MSc_HMc/figures/DOC_seasonal-subbasin_boxplots.png" id="0" name="Picture"/>
                    <pic:cNvPicPr>
                      <a:picLocks noChangeArrowheads="1" noChangeAspect="1"/>
                    </pic:cNvPicPr>
                  </pic:nvPicPr>
                  <pic:blipFill>
                    <a:blip r:embed="rId77"/>
                    <a:stretch>
                      <a:fillRect/>
                    </a:stretch>
                  </pic:blipFill>
                  <pic:spPr bwMode="auto">
                    <a:xfrm>
                      <a:off x="0" y="0"/>
                      <a:ext cx="5504749" cy="3211103"/>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Boxplots of DOC concentrations at six LWSA sites during dry and wet seasons.</w:t>
      </w:r>
    </w:p>
    <w:p>
      <w:pPr>
        <w:pStyle w:val="Heading5"/>
      </w:pPr>
      <w:bookmarkStart w:id="78" w:name="rising-stage-dom-dynamics"/>
      <w:r>
        <w:t xml:space="preserve">Rising stage &amp; DOM dynamics</w:t>
      </w:r>
      <w:bookmarkEnd w:id="78"/>
    </w:p>
    <w:p>
      <w:pPr>
        <w:pStyle w:val="FirstParagraph"/>
      </w:pPr>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18</w:t>
      </w:r>
      <w:r>
        <w:t xml:space="preserve">.</w:t>
      </w:r>
    </w:p>
    <w:p>
      <w:pPr>
        <w:pStyle w:val="BodyText"/>
      </w:pPr>
      <w:r>
        <w:t xml:space="preserve"> </w:t>
      </w:r>
    </w:p>
    <w:p>
      <w:pPr>
        <w:pStyle w:val="CaptionedFigure"/>
      </w:pPr>
      <w:r>
        <w:drawing>
          <wp:inline>
            <wp:extent cx="4587290" cy="3211103"/>
            <wp:effectExtent b="0" l="0" r="0" t="0"/>
            <wp:docPr descr="Figure 18: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79"/>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BodyText"/>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 While not every river response pulse was full sampled across, the vertical racks collected samples at progressively higher stage in each site. Figure</w:t>
      </w:r>
      <w:r>
        <w:t xml:space="preserve"> </w:t>
      </w:r>
      <w:r>
        <w:t xml:space="preserve">19</w:t>
      </w:r>
      <w:r>
        <w:t xml:space="preserve"> </w:t>
      </w:r>
      <w:r>
        <w:t xml:space="preserve">shows DOC concentrations in rising limb sample across rain events. Generally, DOC increased with increasing river stage; however, the trend was not linear in each event response.</w:t>
      </w:r>
    </w:p>
    <w:p>
      <w:r>
        <w:pict>
          <v:rect style="width:0;height:1.5pt" o:hralign="center" o:hrstd="t" o:hr="t"/>
        </w:pict>
      </w:r>
    </w:p>
    <w:p>
      <w:pPr>
        <w:pStyle w:val="FirstParagraph"/>
      </w:pPr>
      <w:r>
        <w:t xml:space="preserve">To get a better idea of stream surge DOM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2"/>
          <w:ilvl w:val="0"/>
        </w:numPr>
      </w:pPr>
      <w:r>
        <w:t xml:space="preserve">earlier 2019</w:t>
      </w:r>
      <w:r>
        <w:t xml:space="preserve"> </w:t>
      </w:r>
      <w:r>
        <w:t xml:space="preserve">rain events 10 &amp; 11 (maybe)</w:t>
      </w:r>
      <w:r>
        <w:t xml:space="preserve"> </w:t>
      </w:r>
      <w:r>
        <w:t xml:space="preserve">****************</w:t>
      </w:r>
      <w:r>
        <w:t xml:space="preserve"> </w:t>
      </w:r>
      <w:r>
        <w:t xml:space="preserve"> </w:t>
      </w:r>
    </w:p>
    <w:p>
      <w:pPr>
        <w:pStyle w:val="CaptionedFigure"/>
      </w:pPr>
      <w:r>
        <w:drawing>
          <wp:inline>
            <wp:extent cx="4587290" cy="6422207"/>
            <wp:effectExtent b="0" l="0" r="0" t="0"/>
            <wp:docPr descr="Figure 19: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80"/>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DOC concentration trends in rising limb samples categorized by rain events</w:t>
      </w:r>
    </w:p>
    <w:p>
      <w:pPr>
        <w:pStyle w:val="BodyText"/>
      </w:pPr>
      <w:r>
        <w:t xml:space="preserve"> </w:t>
      </w:r>
    </w:p>
    <w:p>
      <w:pPr>
        <w:pStyle w:val="Heading4"/>
      </w:pPr>
      <w:bookmarkStart w:id="81" w:name="Xc2630683f9dc53106c8f6f2575ed377c9a57537"/>
      <w:r>
        <w:t xml:space="preserve">Spatiotemporal synchrony in local extrema: river stage and DOC</w:t>
      </w:r>
      <w:bookmarkEnd w:id="81"/>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14</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14:</w:t>
      </w:r>
      <w:r>
        <w:t xml:space="preserve"> </w:t>
      </w:r>
      <w:r>
        <w:rPr>
          <w:i/>
        </w:rPr>
        <w:t xml:space="preserve">Proportion of samples for which peak DOC was found in the highest sample stage.</w:t>
      </w:r>
    </w:p>
    <w:tbl>
      <w:tblPr>
        <w:tblStyle w:val="Table"/>
        <w:tblW w:type="pct" w:w="0.0"/>
        <w:tblLook w:firstRow="1"/>
        <w:tblCaption w:val="Table 14: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20</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20: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82"/>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Compact"/>
        <w:numPr>
          <w:numId w:val="1003"/>
          <w:ilvl w:val="0"/>
        </w:numPr>
      </w:pPr>
      <w:r>
        <w:rPr>
          <w:i/>
        </w:rPr>
        <w:t xml:space="preserve">needs work:</w:t>
      </w:r>
    </w:p>
    <w:p>
      <w:pPr>
        <w:pStyle w:val="Compact"/>
        <w:numPr>
          <w:numId w:val="1003"/>
          <w:ilvl w:val="0"/>
        </w:numPr>
      </w:pPr>
      <w:r>
        <w:t xml:space="preserve">Rates of stream response (times to peak):</w:t>
      </w:r>
      <w:r>
        <w:t xml:space="preserve"> </w:t>
      </w:r>
      <w:r>
        <w:t xml:space="preserve">15</w:t>
      </w:r>
    </w:p>
    <w:p>
      <w:pPr>
        <w:pStyle w:val="FirstParagraph"/>
      </w:pPr>
      <w:r>
        <w:t xml:space="preserve"> </w:t>
      </w:r>
    </w:p>
    <w:p>
      <w:pPr>
        <w:pStyle w:val="TableCaption"/>
      </w:pPr>
      <w:r>
        <w:t xml:space="preserve">Table 15:</w:t>
      </w:r>
      <w:r>
        <w:t xml:space="preserve"> </w:t>
      </w:r>
      <w:r>
        <w:rPr>
          <w:i/>
        </w:rPr>
        <w:t xml:space="preserve">Summary of stream response to precipitation events across the LWSA.</w:t>
      </w:r>
    </w:p>
    <w:tbl>
      <w:tblPr>
        <w:tblStyle w:val="Table"/>
        <w:tblW w:type="pct" w:w="0.0"/>
        <w:tblLook w:firstRow="1"/>
        <w:tblCaption w:val="Table 15: Summary of stream response to precipitation events across the LWS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0.2</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0.3</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0.3</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w:t>
            </w:r>
          </w:p>
        </w:tc>
        <w:tc>
          <w:p>
            <w:pPr>
              <w:pStyle w:val="Compact"/>
              <w:jc w:val="right"/>
            </w:pPr>
            <w:r>
              <w:t xml:space="preserve">7.4</w:t>
            </w:r>
          </w:p>
        </w:tc>
      </w:tr>
    </w:tbl>
    <w:p>
      <w:pPr>
        <w:pStyle w:val="BodyText"/>
      </w:pPr>
      <w:r>
        <w:t xml:space="preserve"> </w:t>
      </w:r>
    </w:p>
    <w:p>
      <w:pPr>
        <w:pStyle w:val="Compact"/>
        <w:numPr>
          <w:numId w:val="1004"/>
          <w:ilvl w:val="0"/>
        </w:numPr>
      </w:pPr>
      <w:r>
        <w:t xml:space="preserve">DOC changes in stormflow</w:t>
      </w:r>
    </w:p>
    <w:p>
      <w:pPr>
        <w:pStyle w:val="Compact"/>
        <w:numPr>
          <w:numId w:val="1004"/>
          <w:ilvl w:val="0"/>
        </w:numPr>
      </w:pPr>
      <w:r>
        <w:t xml:space="preserve">range of DOC in each event:</w:t>
      </w:r>
      <w:r>
        <w:t xml:space="preserve"> </w:t>
      </w:r>
      <w:r>
        <w:t xml:space="preserve">16</w:t>
      </w:r>
    </w:p>
    <w:p>
      <w:pPr>
        <w:pStyle w:val="FirstParagraph"/>
      </w:pPr>
      <w:r>
        <w:t xml:space="preserve"> </w:t>
      </w:r>
    </w:p>
    <w:p>
      <w:pPr>
        <w:pStyle w:val="TableCaption"/>
      </w:pPr>
      <w:r>
        <w:t xml:space="preserve">Table 16:</w:t>
      </w:r>
      <w:r>
        <w:t xml:space="preserve"> </w:t>
      </w:r>
      <w:r>
        <w:rPr>
          <w:i/>
        </w:rPr>
        <w:t xml:space="preserve">Summary of DOC changes within stormflow response to precipitation events across the LWSA (samples from wet season only).</w:t>
      </w:r>
    </w:p>
    <w:tbl>
      <w:tblPr>
        <w:tblStyle w:val="Table"/>
        <w:tblW w:type="pct" w:w="0.0"/>
        <w:tblLook w:firstRow="1"/>
        <w:tblCaption w:val="Table 16: Summary of DOC changes within stormflow response to precipitation events across the LWSA (samples from wet season only)."/>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To better understand how timing of peak DOC varied among sites during the wet season, a subset of samples was selected for closer analysis (highlighted in Figure</w:t>
      </w:r>
      <w:r>
        <w:t xml:space="preserve"> </w:t>
      </w:r>
      <w:r>
        <w:t xml:space="preserve">20</w:t>
      </w:r>
      <w:r>
        <w:t xml:space="preserve"> </w:t>
      </w:r>
      <w:r>
        <w:t xml:space="preserve">and expanded in Figure</w:t>
      </w:r>
      <w:r>
        <w:t xml:space="preserve"> </w:t>
      </w:r>
      <w:r>
        <w:t xml:space="preserve">21</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17</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17:</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7: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5"/>
          <w:ilvl w:val="0"/>
        </w:numPr>
      </w:pPr>
      <w:r>
        <w:t xml:space="preserve">Rates of stream response (times to peak):</w:t>
      </w:r>
      <w:r>
        <w:t xml:space="preserve"> </w:t>
      </w:r>
      <w:r>
        <w:t xml:space="preserve">18</w:t>
      </w:r>
    </w:p>
    <w:p>
      <w:pPr>
        <w:pStyle w:val="FirstParagraph"/>
      </w:pPr>
      <w:r>
        <w:t xml:space="preserve"> </w:t>
      </w:r>
    </w:p>
    <w:p>
      <w:pPr>
        <w:pStyle w:val="TableCaption"/>
      </w:pPr>
      <w:r>
        <w:t xml:space="preserve">Table 18:</w:t>
      </w:r>
      <w:r>
        <w:t xml:space="preserve"> </w:t>
      </w:r>
      <w:r>
        <w:rPr>
          <w:i/>
        </w:rPr>
        <w:t xml:space="preserve">Summary of stream response to precipitation events 10-12 across the LWSA.</w:t>
      </w:r>
    </w:p>
    <w:tbl>
      <w:tblPr>
        <w:tblStyle w:val="Table"/>
        <w:tblW w:type="pct" w:w="0.0"/>
        <w:tblLook w:firstRow="1"/>
        <w:tblCaption w:val="Table 18: Summary of stream response to precipitation events 10-12 across the LWS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6"/>
          <w:ilvl w:val="0"/>
        </w:numPr>
      </w:pPr>
      <w:r>
        <w:t xml:space="preserve">DOC changes in stormflow</w:t>
      </w:r>
    </w:p>
    <w:p>
      <w:pPr>
        <w:pStyle w:val="Compact"/>
        <w:numPr>
          <w:numId w:val="1006"/>
          <w:ilvl w:val="0"/>
        </w:numPr>
      </w:pPr>
      <w:r>
        <w:t xml:space="preserve">range of DOC in each event:</w:t>
      </w:r>
      <w:r>
        <w:t xml:space="preserve"> </w:t>
      </w:r>
      <w:r>
        <w:t xml:space="preserve">19</w:t>
      </w:r>
    </w:p>
    <w:p>
      <w:pPr>
        <w:pStyle w:val="FirstParagraph"/>
      </w:pPr>
      <w:r>
        <w:t xml:space="preserve"> </w:t>
      </w:r>
    </w:p>
    <w:p>
      <w:pPr>
        <w:pStyle w:val="TableCaption"/>
      </w:pPr>
      <w:r>
        <w:t xml:space="preserve">Table 19:</w:t>
      </w:r>
      <w:r>
        <w:t xml:space="preserve"> </w:t>
      </w:r>
      <w:r>
        <w:rPr>
          <w:i/>
        </w:rPr>
        <w:t xml:space="preserve">Summary of DOC changes within stormflow response to precipitation events 10-12 across the LWSA.</w:t>
      </w:r>
    </w:p>
    <w:tbl>
      <w:tblPr>
        <w:tblStyle w:val="Table"/>
        <w:tblW w:type="pct" w:w="0.0"/>
        <w:tblLook w:firstRow="1"/>
        <w:tblCaption w:val="Table 19: Summary of DOC changes within stormflow response to precipitation events 10-12 across the LWSA."/>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1: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8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Compact"/>
        <w:numPr>
          <w:numId w:val="1007"/>
          <w:ilvl w:val="0"/>
        </w:numPr>
      </w:pPr>
      <w:r>
        <w:t xml:space="preserve">density plots of stage with DOC, UV</w:t>
      </w:r>
      <w:r>
        <w:rPr>
          <w:vertAlign w:val="subscript"/>
        </w:rPr>
        <w:t xml:space="preserve">254</w:t>
      </w:r>
      <w:r>
        <w:t xml:space="preserve"> </w:t>
      </w:r>
      <w:r>
        <w:t xml:space="preserve">and SUVA~254 for each site:</w:t>
      </w:r>
      <w:r>
        <w:t xml:space="preserve"> </w:t>
      </w:r>
      <w:r>
        <w:t xml:space="preserve">22</w:t>
      </w:r>
    </w:p>
    <w:p>
      <w:pPr>
        <w:pStyle w:val="CaptionedFigure"/>
      </w:pPr>
      <w:r>
        <w:drawing>
          <wp:inline>
            <wp:extent cx="5504749" cy="6422207"/>
            <wp:effectExtent b="0" l="0" r="0" t="0"/>
            <wp:docPr descr="Figure 22:  Two dimensional density distributions of normalized stage in relation to DOC concentration and DOM molecular character parameters."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84"/>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Two dimensional density distributions of normalized stage in relation to DOC concentration and DOM molecular character parameters.</w:t>
      </w:r>
    </w:p>
    <w:p>
      <w:pPr>
        <w:pStyle w:val="Heading3"/>
      </w:pPr>
      <w:bookmarkStart w:id="85" w:name="synoptic-sampling-1"/>
      <w:r>
        <w:t xml:space="preserve">Synoptic Sampling</w:t>
      </w:r>
      <w:bookmarkEnd w:id="85"/>
    </w:p>
    <w:p>
      <w:pPr>
        <w:pStyle w:val="FirstParagraph"/>
      </w:pPr>
      <w:r>
        <w:t xml:space="preserve">Thirteen river sites across the Leech and Sooke water supply areas were sampled synoptically over the sixteen month study period (</w:t>
      </w:r>
      <w:r>
        <w:t xml:space="preserve">3</w:t>
      </w:r>
      <w:r>
        <w:t xml:space="preserve">). DOC concentrations from the 201 quality assured synoptic grab samples are shown in Figure</w:t>
      </w:r>
      <w:r>
        <w:t xml:space="preserve"> </w:t>
      </w:r>
      <w:r>
        <w:t xml:space="preserve">23</w:t>
      </w:r>
      <w:r>
        <w:t xml:space="preserve"> </w:t>
      </w:r>
      <w:r>
        <w:t xml:space="preserve">and summarized in Table</w:t>
      </w:r>
      <w:r>
        <w:t xml:space="preserve"> </w:t>
      </w:r>
      <w:r>
        <w:t xml:space="preserve">20</w:t>
      </w:r>
      <w:r>
        <w:t xml:space="preserve">.</w:t>
      </w:r>
    </w:p>
    <w:p>
      <w:pPr>
        <w:pStyle w:val="BodyText"/>
      </w:pPr>
      <w:r>
        <w:t xml:space="preserve"> </w:t>
      </w:r>
    </w:p>
    <w:p>
      <w:pPr>
        <w:pStyle w:val="CaptionedFigure"/>
      </w:pPr>
      <w:r>
        <w:drawing>
          <wp:inline>
            <wp:extent cx="5943600" cy="3657600"/>
            <wp:effectExtent b="0" l="0" r="0" t="0"/>
            <wp:docPr descr="Figure 23:  Synoptic sampling results of dissolved organic carbon concentrations from 13 sites over 16 months (201 grab samples)." title="" id="1" name="Picture"/>
            <a:graphic>
              <a:graphicData uri="http://schemas.openxmlformats.org/drawingml/2006/picture">
                <pic:pic>
                  <pic:nvPicPr>
                    <pic:cNvPr descr="R-outputs_UBC-forWater-MSc_HMc/figures/DOC_syn_13sites_boxplots.png" id="0" name="Picture"/>
                    <pic:cNvPicPr>
                      <a:picLocks noChangeArrowheads="1" noChangeAspect="1"/>
                    </pic:cNvPicPr>
                  </pic:nvPicPr>
                  <pic:blipFill>
                    <a:blip r:embed="rId86"/>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Synoptic sampling results of dissolved organic carbon concentrations from 13 sites over 16 months (201 grab samples).</w:t>
      </w:r>
    </w:p>
    <w:p>
      <w:pPr>
        <w:pStyle w:val="BodyText"/>
      </w:pPr>
      <w:r>
        <w:t xml:space="preserve"> </w:t>
      </w:r>
    </w:p>
    <w:p>
      <w:pPr>
        <w:pStyle w:val="TableCaption"/>
      </w:pPr>
      <w:r>
        <w:t xml:space="preserve">Table 20:</w:t>
      </w:r>
      <w:r>
        <w:t xml:space="preserve"> </w:t>
      </w:r>
      <w:r>
        <w:rPr>
          <w:i/>
        </w:rPr>
        <w:t xml:space="preserve">Summary of dissolved organic carbon across thirteen synoptically sampled river sites</w:t>
      </w:r>
    </w:p>
    <w:tbl>
      <w:tblPr>
        <w:tblStyle w:val="Table"/>
        <w:tblW w:type="pct" w:w="0.0"/>
        <w:tblLook w:firstRow="1"/>
        <w:tblCaption w:val="Table 20: Summary of dissolved organic carbon across thirteen synoptically sampled river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21</w:t>
            </w:r>
          </w:p>
        </w:tc>
        <w:tc>
          <w:p>
            <w:pPr>
              <w:pStyle w:val="Compact"/>
              <w:jc w:val="right"/>
            </w:pPr>
            <w:r>
              <w:t xml:space="preserve">9.5</w:t>
            </w:r>
          </w:p>
        </w:tc>
        <w:tc>
          <w:p>
            <w:pPr>
              <w:pStyle w:val="Compact"/>
              <w:jc w:val="right"/>
            </w:pPr>
            <w:r>
              <w:t xml:space="preserve">3</w:t>
            </w:r>
          </w:p>
        </w:tc>
        <w:tc>
          <w:p>
            <w:pPr>
              <w:pStyle w:val="Compact"/>
              <w:jc w:val="right"/>
            </w:pPr>
            <w:r>
              <w:t xml:space="preserve">31</w:t>
            </w:r>
          </w:p>
        </w:tc>
        <w:tc>
          <w:p>
            <w:pPr>
              <w:pStyle w:val="Compact"/>
              <w:jc w:val="right"/>
            </w:pPr>
            <w:r>
              <w:t xml:space="preserve">6.4</w:t>
            </w:r>
          </w:p>
        </w:tc>
        <w:tc>
          <w:p>
            <w:pPr>
              <w:pStyle w:val="Compact"/>
              <w:jc w:val="right"/>
            </w:pPr>
            <w:r>
              <w:t xml:space="preserve">9.0</w:t>
            </w:r>
          </w:p>
        </w:tc>
        <w:tc>
          <w:p>
            <w:pPr>
              <w:pStyle w:val="Compact"/>
              <w:jc w:val="right"/>
            </w:pPr>
            <w:r>
              <w:t xml:space="preserve">19</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19</w:t>
            </w:r>
          </w:p>
        </w:tc>
        <w:tc>
          <w:p>
            <w:pPr>
              <w:pStyle w:val="Compact"/>
              <w:jc w:val="right"/>
            </w:pPr>
            <w:r>
              <w:t xml:space="preserve">4.2</w:t>
            </w:r>
          </w:p>
        </w:tc>
        <w:tc>
          <w:p>
            <w:pPr>
              <w:pStyle w:val="Compact"/>
              <w:jc w:val="right"/>
            </w:pPr>
            <w:r>
              <w:t xml:space="preserve">2</w:t>
            </w:r>
          </w:p>
        </w:tc>
        <w:tc>
          <w:p>
            <w:pPr>
              <w:pStyle w:val="Compact"/>
              <w:jc w:val="right"/>
            </w:pPr>
            <w:r>
              <w:t xml:space="preserve">54</w:t>
            </w:r>
          </w:p>
        </w:tc>
        <w:tc>
          <w:p>
            <w:pPr>
              <w:pStyle w:val="Compact"/>
              <w:jc w:val="right"/>
            </w:pPr>
            <w:r>
              <w:t xml:space="preserve">1.8</w:t>
            </w:r>
          </w:p>
        </w:tc>
        <w:tc>
          <w:p>
            <w:pPr>
              <w:pStyle w:val="Compact"/>
              <w:jc w:val="right"/>
            </w:pPr>
            <w:r>
              <w:t xml:space="preserve">3.3</w:t>
            </w:r>
          </w:p>
        </w:tc>
        <w:tc>
          <w:p>
            <w:pPr>
              <w:pStyle w:val="Compact"/>
              <w:jc w:val="right"/>
            </w:pPr>
            <w:r>
              <w:t xml:space="preserve">9</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19</w:t>
            </w:r>
          </w:p>
        </w:tc>
        <w:tc>
          <w:p>
            <w:pPr>
              <w:pStyle w:val="Compact"/>
              <w:jc w:val="right"/>
            </w:pPr>
            <w:r>
              <w:t xml:space="preserve">6.8</w:t>
            </w:r>
          </w:p>
        </w:tc>
        <w:tc>
          <w:p>
            <w:pPr>
              <w:pStyle w:val="Compact"/>
              <w:jc w:val="right"/>
            </w:pPr>
            <w:r>
              <w:t xml:space="preserve">2</w:t>
            </w:r>
          </w:p>
        </w:tc>
        <w:tc>
          <w:p>
            <w:pPr>
              <w:pStyle w:val="Compact"/>
              <w:jc w:val="right"/>
            </w:pPr>
            <w:r>
              <w:t xml:space="preserve">25</w:t>
            </w:r>
          </w:p>
        </w:tc>
        <w:tc>
          <w:p>
            <w:pPr>
              <w:pStyle w:val="Compact"/>
              <w:jc w:val="right"/>
            </w:pPr>
            <w:r>
              <w:t xml:space="preserve">4.0</w:t>
            </w:r>
          </w:p>
        </w:tc>
        <w:tc>
          <w:p>
            <w:pPr>
              <w:pStyle w:val="Compact"/>
              <w:jc w:val="right"/>
            </w:pPr>
            <w:r>
              <w:t xml:space="preserve">6.2</w:t>
            </w:r>
          </w:p>
        </w:tc>
        <w:tc>
          <w:p>
            <w:pPr>
              <w:pStyle w:val="Compact"/>
              <w:jc w:val="right"/>
            </w:pPr>
            <w:r>
              <w:t xml:space="preserve">12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3</w:t>
            </w:r>
          </w:p>
        </w:tc>
        <w:tc>
          <w:p>
            <w:pPr>
              <w:pStyle w:val="Compact"/>
              <w:jc w:val="right"/>
            </w:pPr>
            <w:r>
              <w:t xml:space="preserve">30</w:t>
            </w:r>
          </w:p>
        </w:tc>
        <w:tc>
          <w:p>
            <w:pPr>
              <w:pStyle w:val="Compact"/>
              <w:jc w:val="right"/>
            </w:pPr>
            <w:r>
              <w:t xml:space="preserve">5.9</w:t>
            </w:r>
          </w:p>
        </w:tc>
        <w:tc>
          <w:p>
            <w:pPr>
              <w:pStyle w:val="Compact"/>
              <w:jc w:val="right"/>
            </w:pPr>
            <w:r>
              <w:t xml:space="preserve">9.7</w:t>
            </w:r>
          </w:p>
        </w:tc>
        <w:tc>
          <w:p>
            <w:pPr>
              <w:pStyle w:val="Compact"/>
              <w:jc w:val="right"/>
            </w:pPr>
            <w:r>
              <w:t xml:space="preserve">17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2</w:t>
            </w:r>
          </w:p>
        </w:tc>
        <w:tc>
          <w:p>
            <w:pPr>
              <w:pStyle w:val="Compact"/>
              <w:jc w:val="right"/>
            </w:pPr>
            <w:r>
              <w:t xml:space="preserve">27</w:t>
            </w:r>
          </w:p>
        </w:tc>
        <w:tc>
          <w:p>
            <w:pPr>
              <w:pStyle w:val="Compact"/>
              <w:jc w:val="right"/>
            </w:pPr>
            <w:r>
              <w:t xml:space="preserve">3.7</w:t>
            </w:r>
          </w:p>
        </w:tc>
        <w:tc>
          <w:p>
            <w:pPr>
              <w:pStyle w:val="Compact"/>
              <w:jc w:val="right"/>
            </w:pPr>
            <w:r>
              <w:t xml:space="preserve">6.5</w:t>
            </w:r>
          </w:p>
        </w:tc>
        <w:tc>
          <w:p>
            <w:pPr>
              <w:pStyle w:val="Compact"/>
              <w:jc w:val="right"/>
            </w:pPr>
            <w:r>
              <w:t xml:space="preserve">9</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30</w:t>
            </w:r>
          </w:p>
        </w:tc>
        <w:tc>
          <w:p>
            <w:pPr>
              <w:pStyle w:val="Compact"/>
              <w:jc w:val="right"/>
            </w:pPr>
            <w:r>
              <w:t xml:space="preserve">4.1</w:t>
            </w:r>
          </w:p>
        </w:tc>
        <w:tc>
          <w:p>
            <w:pPr>
              <w:pStyle w:val="Compact"/>
              <w:jc w:val="right"/>
            </w:pPr>
            <w:r>
              <w:t xml:space="preserve">1</w:t>
            </w:r>
          </w:p>
        </w:tc>
        <w:tc>
          <w:p>
            <w:pPr>
              <w:pStyle w:val="Compact"/>
              <w:jc w:val="right"/>
            </w:pPr>
            <w:r>
              <w:t xml:space="preserve">32</w:t>
            </w:r>
          </w:p>
        </w:tc>
        <w:tc>
          <w:p>
            <w:pPr>
              <w:pStyle w:val="Compact"/>
              <w:jc w:val="right"/>
            </w:pPr>
            <w:r>
              <w:t xml:space="preserve">1.8</w:t>
            </w:r>
          </w:p>
        </w:tc>
        <w:tc>
          <w:p>
            <w:pPr>
              <w:pStyle w:val="Compact"/>
              <w:jc w:val="right"/>
            </w:pPr>
            <w:r>
              <w:t xml:space="preserve">3.7</w:t>
            </w:r>
          </w:p>
        </w:tc>
        <w:tc>
          <w:p>
            <w:pPr>
              <w:pStyle w:val="Compact"/>
              <w:jc w:val="right"/>
            </w:pPr>
            <w:r>
              <w:t xml:space="preserve">7</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21</w:t>
            </w:r>
          </w:p>
        </w:tc>
        <w:tc>
          <w:p>
            <w:pPr>
              <w:pStyle w:val="Compact"/>
              <w:jc w:val="right"/>
            </w:pPr>
            <w:r>
              <w:t xml:space="preserve">4.3</w:t>
            </w:r>
          </w:p>
        </w:tc>
        <w:tc>
          <w:p>
            <w:pPr>
              <w:pStyle w:val="Compact"/>
              <w:jc w:val="right"/>
            </w:pPr>
            <w:r>
              <w:t xml:space="preserve">2</w:t>
            </w:r>
          </w:p>
        </w:tc>
        <w:tc>
          <w:p>
            <w:pPr>
              <w:pStyle w:val="Compact"/>
              <w:jc w:val="right"/>
            </w:pPr>
            <w:r>
              <w:t xml:space="preserve">42</w:t>
            </w:r>
          </w:p>
        </w:tc>
        <w:tc>
          <w:p>
            <w:pPr>
              <w:pStyle w:val="Compact"/>
              <w:jc w:val="right"/>
            </w:pPr>
            <w:r>
              <w:t xml:space="preserve">2.0</w:t>
            </w:r>
          </w:p>
        </w:tc>
        <w:tc>
          <w:p>
            <w:pPr>
              <w:pStyle w:val="Compact"/>
              <w:jc w:val="right"/>
            </w:pPr>
            <w:r>
              <w:t xml:space="preserve">4.2</w:t>
            </w:r>
          </w:p>
        </w:tc>
        <w:tc>
          <w:p>
            <w:pPr>
              <w:pStyle w:val="Compact"/>
              <w:jc w:val="right"/>
            </w:pPr>
            <w:r>
              <w:t xml:space="preserve">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w:t>
            </w:r>
          </w:p>
        </w:tc>
        <w:tc>
          <w:p>
            <w:pPr>
              <w:pStyle w:val="Compact"/>
              <w:jc w:val="right"/>
            </w:pPr>
            <w:r>
              <w:t xml:space="preserve">26</w:t>
            </w:r>
          </w:p>
        </w:tc>
        <w:tc>
          <w:p>
            <w:pPr>
              <w:pStyle w:val="Compact"/>
              <w:jc w:val="right"/>
            </w:pPr>
            <w:r>
              <w:t xml:space="preserve">3.3</w:t>
            </w:r>
          </w:p>
        </w:tc>
        <w:tc>
          <w:p>
            <w:pPr>
              <w:pStyle w:val="Compact"/>
              <w:jc w:val="right"/>
            </w:pPr>
            <w:r>
              <w:t xml:space="preserve">5.1</w:t>
            </w:r>
          </w:p>
        </w:tc>
        <w:tc>
          <w:p>
            <w:pPr>
              <w:pStyle w:val="Compact"/>
              <w:jc w:val="right"/>
            </w:pPr>
            <w:r>
              <w:t xml:space="preserve">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38</w:t>
            </w:r>
          </w:p>
        </w:tc>
        <w:tc>
          <w:p>
            <w:pPr>
              <w:pStyle w:val="Compact"/>
              <w:jc w:val="right"/>
            </w:pPr>
            <w:r>
              <w:t xml:space="preserve">4.2</w:t>
            </w:r>
          </w:p>
        </w:tc>
        <w:tc>
          <w:p>
            <w:pPr>
              <w:pStyle w:val="Compact"/>
              <w:jc w:val="right"/>
            </w:pPr>
            <w:r>
              <w:t xml:space="preserve">2</w:t>
            </w:r>
          </w:p>
        </w:tc>
        <w:tc>
          <w:p>
            <w:pPr>
              <w:pStyle w:val="Compact"/>
              <w:jc w:val="right"/>
            </w:pPr>
            <w:r>
              <w:t xml:space="preserve">41</w:t>
            </w:r>
          </w:p>
        </w:tc>
        <w:tc>
          <w:p>
            <w:pPr>
              <w:pStyle w:val="Compact"/>
              <w:jc w:val="right"/>
            </w:pPr>
            <w:r>
              <w:t xml:space="preserve">1.6</w:t>
            </w:r>
          </w:p>
        </w:tc>
        <w:tc>
          <w:p>
            <w:pPr>
              <w:pStyle w:val="Compact"/>
              <w:jc w:val="right"/>
            </w:pPr>
            <w:r>
              <w:t xml:space="preserve">3.7</w:t>
            </w:r>
          </w:p>
        </w:tc>
        <w:tc>
          <w:p>
            <w:pPr>
              <w:pStyle w:val="Compact"/>
              <w:jc w:val="right"/>
            </w:pPr>
            <w:r>
              <w:t xml:space="preserve">9</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4</w:t>
            </w:r>
          </w:p>
        </w:tc>
        <w:tc>
          <w:p>
            <w:pPr>
              <w:pStyle w:val="Compact"/>
              <w:jc w:val="right"/>
            </w:pPr>
            <w:r>
              <w:t xml:space="preserve">71</w:t>
            </w:r>
          </w:p>
        </w:tc>
        <w:tc>
          <w:p>
            <w:pPr>
              <w:pStyle w:val="Compact"/>
              <w:jc w:val="right"/>
            </w:pPr>
            <w:r>
              <w:t xml:space="preserve">1.6</w:t>
            </w:r>
          </w:p>
        </w:tc>
        <w:tc>
          <w:p>
            <w:pPr>
              <w:pStyle w:val="Compact"/>
              <w:jc w:val="right"/>
            </w:pPr>
            <w:r>
              <w:t xml:space="preserve">3.5</w:t>
            </w:r>
          </w:p>
        </w:tc>
        <w:tc>
          <w:p>
            <w:pPr>
              <w:pStyle w:val="Compact"/>
              <w:jc w:val="right"/>
            </w:pPr>
            <w:r>
              <w:t xml:space="preserve">13</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w:t>
            </w:r>
          </w:p>
        </w:tc>
        <w:tc>
          <w:p>
            <w:pPr>
              <w:pStyle w:val="Compact"/>
              <w:jc w:val="right"/>
            </w:pPr>
            <w:r>
              <w:t xml:space="preserve">20</w:t>
            </w:r>
          </w:p>
        </w:tc>
        <w:tc>
          <w:p>
            <w:pPr>
              <w:pStyle w:val="Compact"/>
              <w:jc w:val="right"/>
            </w:pPr>
            <w:r>
              <w:t xml:space="preserve">4.4</w:t>
            </w:r>
          </w:p>
        </w:tc>
        <w:tc>
          <w:p>
            <w:pPr>
              <w:pStyle w:val="Compact"/>
              <w:jc w:val="right"/>
            </w:pPr>
            <w:r>
              <w:t xml:space="preserve">5.3</w:t>
            </w:r>
          </w:p>
        </w:tc>
        <w:tc>
          <w:p>
            <w:pPr>
              <w:pStyle w:val="Compact"/>
              <w:jc w:val="right"/>
            </w:pPr>
            <w:r>
              <w:t xml:space="preserve">8</w:t>
            </w:r>
          </w:p>
        </w:tc>
      </w:tr>
      <w:tr>
        <w:tc>
          <w:p>
            <w:pPr>
              <w:pStyle w:val="Compact"/>
              <w:jc w:val="left"/>
            </w:pPr>
            <w:r>
              <w:t xml:space="preserve">Deception-res</w:t>
            </w:r>
          </w:p>
        </w:tc>
        <w:tc>
          <w:p>
            <w:pPr>
              <w:pStyle w:val="Compact"/>
              <w:jc w:val="left"/>
            </w:pPr>
            <w:r>
              <w:t xml:space="preserve">outlet of Leech Tunnel, SWSA</w:t>
            </w:r>
          </w:p>
        </w:tc>
        <w:tc>
          <w:p>
            <w:pPr>
              <w:pStyle w:val="Compact"/>
              <w:jc w:val="right"/>
            </w:pPr>
            <w:r>
              <w:t xml:space="preserve">3</w:t>
            </w:r>
          </w:p>
        </w:tc>
        <w:tc>
          <w:p>
            <w:pPr>
              <w:pStyle w:val="Compact"/>
              <w:jc w:val="right"/>
            </w:pPr>
            <w:r>
              <w:t xml:space="preserve">4.9</w:t>
            </w:r>
          </w:p>
        </w:tc>
        <w:tc>
          <w:p>
            <w:pPr>
              <w:pStyle w:val="Compact"/>
              <w:jc w:val="right"/>
            </w:pPr>
            <w:r>
              <w:t xml:space="preserve">2</w:t>
            </w:r>
          </w:p>
        </w:tc>
        <w:tc>
          <w:p>
            <w:pPr>
              <w:pStyle w:val="Compact"/>
              <w:jc w:val="right"/>
            </w:pPr>
            <w:r>
              <w:t xml:space="preserve">40</w:t>
            </w:r>
          </w:p>
        </w:tc>
        <w:tc>
          <w:p>
            <w:pPr>
              <w:pStyle w:val="Compact"/>
              <w:jc w:val="right"/>
            </w:pPr>
            <w:r>
              <w:t xml:space="preserve">3.1</w:t>
            </w:r>
          </w:p>
        </w:tc>
        <w:tc>
          <w:p>
            <w:pPr>
              <w:pStyle w:val="Compact"/>
              <w:jc w:val="right"/>
            </w:pPr>
            <w:r>
              <w:t xml:space="preserve">4.5</w:t>
            </w:r>
          </w:p>
        </w:tc>
        <w:tc>
          <w:p>
            <w:pPr>
              <w:pStyle w:val="Compact"/>
              <w:jc w:val="right"/>
            </w:pPr>
            <w:r>
              <w:t xml:space="preserve">7</w:t>
            </w:r>
          </w:p>
        </w:tc>
      </w:tr>
      <w:tr>
        <w:tc>
          <w:p>
            <w:pPr>
              <w:pStyle w:val="Compact"/>
              <w:jc w:val="left"/>
            </w:pPr>
            <w:r>
              <w:t xml:space="preserve">Boneyard</w:t>
            </w:r>
          </w:p>
        </w:tc>
        <w:tc>
          <w:p>
            <w:pPr>
              <w:pStyle w:val="Compact"/>
              <w:jc w:val="left"/>
            </w:pPr>
            <w:r>
              <w:t xml:space="preserve">downstream from Leech Tunnel</w:t>
            </w:r>
          </w:p>
        </w:tc>
        <w:tc>
          <w:p>
            <w:pPr>
              <w:pStyle w:val="Compact"/>
              <w:jc w:val="right"/>
            </w:pPr>
            <w:r>
              <w:t xml:space="preserve">7</w:t>
            </w:r>
          </w:p>
        </w:tc>
        <w:tc>
          <w:p>
            <w:pPr>
              <w:pStyle w:val="Compact"/>
              <w:jc w:val="right"/>
            </w:pPr>
            <w:r>
              <w:t xml:space="preserve">2.9</w:t>
            </w:r>
          </w:p>
        </w:tc>
        <w:tc>
          <w:p>
            <w:pPr>
              <w:pStyle w:val="Compact"/>
              <w:jc w:val="right"/>
            </w:pPr>
            <w:r>
              <w:t xml:space="preserve">2</w:t>
            </w:r>
          </w:p>
        </w:tc>
        <w:tc>
          <w:p>
            <w:pPr>
              <w:pStyle w:val="Compact"/>
              <w:jc w:val="right"/>
            </w:pPr>
            <w:r>
              <w:t xml:space="preserve">60</w:t>
            </w:r>
          </w:p>
        </w:tc>
        <w:tc>
          <w:p>
            <w:pPr>
              <w:pStyle w:val="Compact"/>
              <w:jc w:val="right"/>
            </w:pPr>
            <w:r>
              <w:t xml:space="preserve">1.8</w:t>
            </w:r>
          </w:p>
        </w:tc>
        <w:tc>
          <w:p>
            <w:pPr>
              <w:pStyle w:val="Compact"/>
              <w:jc w:val="right"/>
            </w:pPr>
            <w:r>
              <w:t xml:space="preserve">1.9</w:t>
            </w:r>
          </w:p>
        </w:tc>
        <w:tc>
          <w:p>
            <w:pPr>
              <w:pStyle w:val="Compact"/>
              <w:jc w:val="right"/>
            </w:pPr>
            <w:r>
              <w:t xml:space="preserve">5</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201</w:t>
            </w:r>
          </w:p>
        </w:tc>
        <w:tc>
          <w:p>
            <w:pPr>
              <w:pStyle w:val="Compact"/>
              <w:jc w:val="right"/>
            </w:pPr>
            <w:r>
              <w:t xml:space="preserve">5.5</w:t>
            </w:r>
          </w:p>
        </w:tc>
        <w:tc>
          <w:p>
            <w:pPr>
              <w:pStyle w:val="Compact"/>
              <w:jc w:val="right"/>
            </w:pPr>
            <w:r>
              <w:t xml:space="preserve">3</w:t>
            </w:r>
          </w:p>
        </w:tc>
        <w:tc>
          <w:p>
            <w:pPr>
              <w:pStyle w:val="Compact"/>
              <w:jc w:val="right"/>
            </w:pPr>
            <w:r>
              <w:t xml:space="preserve">53</w:t>
            </w:r>
          </w:p>
        </w:tc>
        <w:tc>
          <w:p>
            <w:pPr>
              <w:pStyle w:val="Compact"/>
              <w:jc w:val="right"/>
            </w:pPr>
            <w:r>
              <w:t xml:space="preserve">1.6</w:t>
            </w:r>
          </w:p>
        </w:tc>
        <w:tc>
          <w:p>
            <w:pPr>
              <w:pStyle w:val="Compact"/>
              <w:jc w:val="right"/>
            </w:pPr>
            <w:r>
              <w:t xml:space="preserve">5.1</w:t>
            </w:r>
          </w:p>
        </w:tc>
        <w:tc>
          <w:p>
            <w:pPr>
              <w:pStyle w:val="Compact"/>
              <w:jc w:val="right"/>
            </w:pPr>
            <w:r>
              <w:t xml:space="preserve">19</w:t>
            </w:r>
          </w:p>
        </w:tc>
      </w:tr>
    </w:tbl>
    <w:p>
      <w:pPr>
        <w:pStyle w:val="BodyText"/>
      </w:pPr>
      <w:r>
        <w:t xml:space="preserve"> </w:t>
      </w:r>
    </w:p>
    <w:p>
      <w:pPr>
        <w:pStyle w:val="BodyText"/>
      </w:pPr>
      <w:r>
        <w:t xml:space="preserve">Rithet Creek, the largest tributary to Sooke Reservoir, showed a range of DOC concentrations comparable to those observed at the Tunnel site. And median DOC at Judge Creek, the second largest tributary to Sooke Reservoir, was greater than concentrations at any of the LWSA mainstem rivers and the Tunnel site.</w:t>
      </w:r>
    </w:p>
    <w:p>
      <w:pPr>
        <w:pStyle w:val="BodyText"/>
      </w:pPr>
      <w:r>
        <w:t xml:space="preserve"> </w:t>
      </w:r>
    </w:p>
    <w:p>
      <w:pPr>
        <w:pStyle w:val="Heading4"/>
      </w:pPr>
      <w:bookmarkStart w:id="87" w:name="seasonal-patterns-in-dom-character"/>
      <w:r>
        <w:t xml:space="preserve">Seasonal patterns in DOM character</w:t>
      </w:r>
      <w:bookmarkEnd w:id="87"/>
    </w:p>
    <w:p>
      <w:pPr>
        <w:pStyle w:val="FirstParagraph"/>
      </w:pPr>
      <w:r>
        <w:t xml:space="preserve">The synoptic samples collected over sixteen months were used to assess seasonality in source water DOM character. DOC concentrations were measured directly as NPOC and were estimated by UV-vis absorbance using a Spectrolyser. More aromatic molecules of NOM will absorb more UV energy at 254nm wavelength than non-aromatic molecules; therefore, spectroscopic estimates of DOM are proxy measures of sample aromaticity (e.g., humic substances). As chromophores are required (i.e. responsible) for UV absorbance, absorbance-based DOC estimates will be referred to as chromophoric-DOM or CDOM. DOC concentrations (NPOC) were compared to CDOM to evaluate if and when molecular character of river samples may have shifted. Of the 371 synoptic samples, 276 had data for both NPOC and CDOM, Figure</w:t>
      </w:r>
      <w:r>
        <w:t xml:space="preserve"> </w:t>
      </w:r>
      <w:r>
        <w:t xml:space="preserve">24</w:t>
      </w:r>
      <w:r>
        <w:t xml:space="preserve"> </w:t>
      </w:r>
      <w:r>
        <w:t xml:space="preserve">shows DOC (NPOC) plotted against CDOM for all quality assured data (i.e., both Rack and Grab samples).</w:t>
      </w:r>
    </w:p>
    <w:p>
      <w:pPr>
        <w:pStyle w:val="BodyText"/>
      </w:pPr>
      <w:r>
        <w:t xml:space="preserve"> </w:t>
      </w:r>
    </w:p>
    <w:p>
      <w:pPr>
        <w:pStyle w:val="CaptionedFigure"/>
      </w:pPr>
      <w:r>
        <w:drawing>
          <wp:inline>
            <wp:extent cx="4587290" cy="4587290"/>
            <wp:effectExtent b="0" l="0" r="0" t="0"/>
            <wp:docPr descr="Figure 24:  Dissolved organic carbon measured directly (as NPOC) plotted against concentrations estimated via UV-Vis spectroscopy, with a dashed lined indicating best fit (1:1). The 276 samples are grouped by season (nwet = 210, nfirst-flush = 15,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8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Dissolved organic carbon measured directly (as NPOC) plotted against concentrations estimated via UV-Vis spectroscopy, with a dashed lined indicating best fit (1:1). The 276 samples are grouped by season (n</w:t>
      </w:r>
      <w:r>
        <w:rPr>
          <w:vertAlign w:val="subscript"/>
          <w:i/>
        </w:rPr>
        <w:t xml:space="preserve">wet</w:t>
      </w:r>
      <w:r>
        <w:rPr>
          <w:i/>
        </w:rPr>
        <w:t xml:space="preserve"> </w:t>
      </w:r>
      <w:r>
        <w:rPr>
          <w:i/>
        </w:rPr>
        <w:t xml:space="preserve">= 210, n</w:t>
      </w:r>
      <w:r>
        <w:rPr>
          <w:vertAlign w:val="subscript"/>
          <w:i/>
        </w:rPr>
        <w:t xml:space="preserve">first-flush</w:t>
      </w:r>
      <w:r>
        <w:rPr>
          <w:i/>
        </w:rPr>
        <w:t xml:space="preserve"> </w:t>
      </w:r>
      <w:r>
        <w:rPr>
          <w:i/>
        </w:rPr>
        <w:t xml:space="preserve">= 15, n</w:t>
      </w:r>
      <w:r>
        <w:rPr>
          <w:vertAlign w:val="subscript"/>
          <w:i/>
        </w:rPr>
        <w:t xml:space="preserve">dry</w:t>
      </w:r>
      <w:r>
        <w:rPr>
          <w:i/>
        </w:rPr>
        <w:t xml:space="preserve"> </w:t>
      </w:r>
      <w:r>
        <w:rPr>
          <w:i/>
        </w:rPr>
        <w:t xml:space="preserve">= 27).</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DOM had more aromatic character (more humic-like or allochthonous NOM) during the wet-season than during the dry-season.</w:t>
      </w:r>
    </w:p>
    <w:p>
      <w:pPr>
        <w:pStyle w:val="BodyText"/>
      </w:pPr>
      <w:r>
        <w:t xml:space="preserve"> </w:t>
      </w:r>
    </w:p>
    <w:p>
      <w:pPr>
        <w:pStyle w:val="BodyText"/>
      </w:pPr>
      <w:r>
        <w:t xml:space="preserve">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Specific UV absorbance at 254-nm (SUVA</w:t>
      </w:r>
      <w:r>
        <w:rPr>
          <w:vertAlign w:val="subscript"/>
        </w:rPr>
        <w:t xml:space="preserve">254</w:t>
      </w:r>
      <w:r>
        <w:t xml:space="preserve">) is a widely adopted indicator of a sample’s aromaticity. SUVA</w:t>
      </w:r>
      <w:r>
        <w:rPr>
          <w:vertAlign w:val="subscript"/>
        </w:rPr>
        <w:t xml:space="preserve">254</w:t>
      </w:r>
      <w:r>
        <w:t xml:space="preserve"> </w:t>
      </w:r>
      <w:r>
        <w:t xml:space="preserve">was calculated by dividing each samples absorbance at 254nm by its DOC concentration; a larger SUVA</w:t>
      </w:r>
      <w:r>
        <w:rPr>
          <w:vertAlign w:val="subscript"/>
        </w:rPr>
        <w:t xml:space="preserve">254</w:t>
      </w:r>
      <w:r>
        <w:t xml:space="preserve"> </w:t>
      </w:r>
      <w:r>
        <w:t xml:space="preserve">value indicates a sample with more aromatic character than a sample with low SUVA</w:t>
      </w:r>
      <w:r>
        <w:rPr>
          <w:vertAlign w:val="subscript"/>
        </w:rPr>
        <w:t xml:space="preserve">254</w:t>
      </w:r>
      <w:r>
        <w:t xml:space="preserve">. Figure</w:t>
      </w:r>
      <w:r>
        <w:t xml:space="preserve"> </w:t>
      </w:r>
      <w:r>
        <w:t xml:space="preserve">25</w:t>
      </w:r>
      <w:r>
        <w:t xml:space="preserve"> </w:t>
      </w:r>
      <w:r>
        <w:t xml:space="preserve">shows seasonally grouped samples’ DOC plotted against SUVA</w:t>
      </w:r>
      <w:r>
        <w:rPr>
          <w:vertAlign w:val="subscript"/>
        </w:rPr>
        <w:t xml:space="preserve">254</w:t>
      </w:r>
      <w:r>
        <w:t xml:space="preserve">, which indicates a greater aromatic character of river water during the wet season compared to dry season.</w:t>
      </w:r>
    </w:p>
    <w:p>
      <w:pPr>
        <w:pStyle w:val="BodyText"/>
      </w:pPr>
      <w:r>
        <w:t xml:space="preserve"> </w:t>
      </w:r>
    </w:p>
    <w:p>
      <w:pPr>
        <w:pStyle w:val="CaptionedFigure"/>
      </w:pPr>
      <w:r>
        <w:drawing>
          <wp:inline>
            <wp:extent cx="4587290" cy="3211103"/>
            <wp:effectExtent b="0" l="0" r="0" t="0"/>
            <wp:docPr descr="Figure 25: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89"/>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BodyText"/>
      </w:pPr>
      <w:r>
        <w:rPr>
          <w:i/>
          <w:b/>
        </w:rPr>
        <w:t xml:space="preserve">Random Forests</w:t>
      </w:r>
    </w:p>
    <w:p>
      <w:pPr>
        <w:pStyle w:val="Compact"/>
        <w:numPr>
          <w:numId w:val="1008"/>
          <w:ilvl w:val="0"/>
        </w:numPr>
      </w:pPr>
      <w:r>
        <w:t xml:space="preserve">in progress –</w:t>
      </w:r>
    </w:p>
    <w:p>
      <w:pPr>
        <w:pStyle w:val="Heading2"/>
      </w:pPr>
      <w:bookmarkStart w:id="90" w:name="discussion"/>
      <w:r>
        <w:t xml:space="preserve">Discussion</w:t>
      </w:r>
      <w:bookmarkEnd w:id="90"/>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(Table</w:t>
      </w:r>
      <w:r>
        <w:t xml:space="preserve"> </w:t>
      </w:r>
      <w:r>
        <w:t xml:space="preserve">4</w:t>
      </w:r>
      <w:r>
        <w:t xml:space="preserve">, Section</w:t>
      </w:r>
      <w:r>
        <w:t xml:space="preserve"> </w:t>
      </w:r>
      <w:r>
        <w:t xml:space="preserve">5.2.2.2</w:t>
      </w:r>
      <w:r>
        <w:t xml:space="preserve">),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2"/>
      </w:pPr>
      <w:bookmarkStart w:id="91" w:name="conclusions"/>
      <w:r>
        <w:t xml:space="preserve">Conclusions</w:t>
      </w:r>
      <w:bookmarkEnd w:id="91"/>
    </w:p>
    <w:p>
      <w:pPr>
        <w:pStyle w:val="Heading1"/>
      </w:pPr>
      <w:bookmarkStart w:id="92" w:name="references"/>
      <w:r>
        <w:t xml:space="preserve">References</w:t>
      </w:r>
      <w:bookmarkEnd w:id="92"/>
    </w:p>
    <w:p>
      <w:pPr>
        <w:pStyle w:val="Heading7"/>
      </w:pPr>
      <w:bookmarkStart w:id="93" w:name="appendix"/>
      <w:r>
        <w:t xml:space="preserve">Appendix</w:t>
      </w:r>
      <w:bookmarkEnd w:id="93"/>
    </w:p>
    <w:p>
      <w:pPr>
        <w:pStyle w:val="Heading8"/>
      </w:pPr>
      <w:bookmarkStart w:id="94" w:name="the-forwater-network"/>
      <w:r>
        <w:t xml:space="preserve">The forWater Network</w:t>
      </w:r>
      <w:bookmarkEnd w:id="94"/>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95" w:name="X264f14d3eae9d18c35d78736d0a098750021930"/>
      <w:r>
        <w:t xml:space="preserve">Greater Victoria Regional Water Supply System</w:t>
      </w:r>
      <w:bookmarkEnd w:id="95"/>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7"/>
      </w:pPr>
      <w:bookmarkStart w:id="96" w:name="leech-river-watershed-site-details"/>
      <w:r>
        <w:t xml:space="preserve">Leech River Watershed Site Details</w:t>
      </w:r>
      <w:bookmarkEnd w:id="96"/>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9"/>
      </w:pPr>
      <w:bookmarkStart w:id="97" w:name="installation-monitoring-sites"/>
      <w:r>
        <w:t xml:space="preserve">Installation / monitoring sites</w:t>
      </w:r>
      <w:bookmarkEnd w:id="97"/>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Outlet</w:t>
      </w:r>
    </w:p>
    <w:p>
      <w:pPr>
        <w:pStyle w:val="BodyText"/>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BodyText"/>
      </w:pPr>
      <w:r>
        <w:t xml:space="preserve"> </w:t>
      </w:r>
    </w:p>
    <w:p>
      <w:pPr>
        <w:pStyle w:val="BodyText"/>
      </w:pPr>
      <w:r>
        <w:rPr>
          <w:i/>
          <w:b/>
        </w:rPr>
        <w:t xml:space="preserve">Chris Creek</w:t>
      </w:r>
    </w:p>
    <w:p>
      <w:pPr>
        <w:pStyle w:val="BodyText"/>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BodyText"/>
      </w:pPr>
      <w:r>
        <w:t xml:space="preserve"> </w:t>
      </w:r>
    </w:p>
    <w:p>
      <w:pPr>
        <w:pStyle w:val="BodyText"/>
      </w:pPr>
      <w:r>
        <w:rPr>
          <w:i/>
          <w:b/>
        </w:rPr>
        <w:t xml:space="preserve">Leech Head</w:t>
      </w:r>
    </w:p>
    <w:p>
      <w:pPr>
        <w:pStyle w:val="BodyText"/>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t xml:space="preserve"> </w:t>
      </w:r>
    </w:p>
    <w:p>
      <w:pPr>
        <w:pStyle w:val="BodyText"/>
      </w:pPr>
      <w:r>
        <w:rPr>
          <w:i/>
          <w:b/>
        </w:rPr>
        <w:t xml:space="preserve">Cragg Creek</w:t>
      </w:r>
    </w:p>
    <w:p>
      <w:pPr>
        <w:pStyle w:val="BodyText"/>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BodyText"/>
      </w:pPr>
      <w:r>
        <w:t xml:space="preserve"> </w:t>
      </w:r>
    </w:p>
    <w:p>
      <w:pPr>
        <w:pStyle w:val="BodyText"/>
      </w:pPr>
      <w:r>
        <w:rPr>
          <w:i/>
          <w:b/>
        </w:rPr>
        <w:t xml:space="preserve">West Leech</w:t>
      </w:r>
    </w:p>
    <w:p>
      <w:pPr>
        <w:pStyle w:val="BodyText"/>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BodyText"/>
      </w:pPr>
      <w:r>
        <w:t xml:space="preserve"> </w:t>
      </w:r>
    </w:p>
    <w:p>
      <w:pPr>
        <w:pStyle w:val="BodyText"/>
      </w:pPr>
      <w:r>
        <w:rPr>
          <w:i/>
          <w:b/>
        </w:rPr>
        <w:t xml:space="preserve">Leech Tunnel</w:t>
      </w:r>
    </w:p>
    <w:p>
      <w:pPr>
        <w:pStyle w:val="BodyText"/>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 bed here is dominated by Schist bedrock and boulders. The bedrock in the center of the channel is deeply incised, but overall the river is wider than is is deep. The Tunnel site is approximately 1km downstream of the West Leech confluence.</w:t>
      </w:r>
    </w:p>
    <w:p>
      <w:pPr>
        <w:pStyle w:val="Heading7"/>
      </w:pPr>
      <w:bookmarkStart w:id="98" w:name="extended-methods"/>
      <w:r>
        <w:t xml:space="preserve">Extended Methods</w:t>
      </w:r>
      <w:bookmarkEnd w:id="98"/>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99" w:name="field-protocol"/>
      <w:r>
        <w:t xml:space="preserve">Field protocol</w:t>
      </w:r>
      <w:bookmarkEnd w:id="99"/>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00" w:name="X4e3eb70344da6a931ae15671e47b67ae69cdd36"/>
      <w:r>
        <w:t xml:space="preserve">Prototype for falling limb passive sampling</w:t>
      </w:r>
      <w:bookmarkEnd w:id="100"/>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7"/>
      </w:pPr>
      <w:bookmarkStart w:id="101" w:name="collaborative-sampling"/>
      <w:r>
        <w:t xml:space="preserve">Collaborative sampling</w:t>
      </w:r>
      <w:bookmarkEnd w:id="101"/>
    </w:p>
    <w:p>
      <w:pPr>
        <w:pStyle w:val="Heading9"/>
      </w:pPr>
      <w:bookmarkStart w:id="102" w:name="Xff9c1916dd8d278b07e9d95ebf125bc565f5754"/>
      <w:r>
        <w:t xml:space="preserve">forWater-coordinated treatability analyses sites</w:t>
      </w:r>
      <w:bookmarkEnd w:id="102"/>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9"/>
      </w:pPr>
      <w:bookmarkStart w:id="103" w:name="sampling-for-metals-on-behalf-of-the-crd"/>
      <w:r>
        <w:t xml:space="preserve">Sampling for Metals on behalf of the CRD</w:t>
      </w:r>
      <w:bookmarkEnd w:id="103"/>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7"/>
      </w:pPr>
      <w:bookmarkStart w:id="104" w:name="results-extended"/>
      <w:r>
        <w:t xml:space="preserve">Results extended</w:t>
      </w:r>
      <w:bookmarkEnd w:id="104"/>
    </w:p>
    <w:p>
      <w:pPr>
        <w:pStyle w:val="Heading9"/>
      </w:pPr>
      <w:bookmarkStart w:id="105" w:name="malahat-5-year-weather"/>
      <w:r>
        <w:t xml:space="preserve">Malahat 5 year weather</w:t>
      </w:r>
      <w:bookmarkEnd w:id="105"/>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26</w:t>
      </w:r>
      <w:r>
        <w:t xml:space="preserve"> </w:t>
      </w:r>
      <w:r>
        <w:t xml:space="preserve">shows Malahat weather data, which are summarized in Table</w:t>
      </w:r>
      <w:r>
        <w:t xml:space="preserve"> </w:t>
      </w:r>
      <w:r>
        <w:t xml:space="preserve">21</w:t>
      </w:r>
      <w:r>
        <w:t xml:space="preserve">.</w:t>
      </w:r>
    </w:p>
    <w:p>
      <w:pPr>
        <w:pStyle w:val="CaptionedFigure"/>
      </w:pPr>
      <w:r>
        <w:drawing>
          <wp:inline>
            <wp:extent cx="5943600" cy="3668888"/>
            <wp:effectExtent b="0" l="0" r="0" t="0"/>
            <wp:docPr descr="Figure 26: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0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21:</w:t>
      </w:r>
      <w:r>
        <w:t xml:space="preserve"> </w:t>
      </w:r>
      <w:r>
        <w:rPr>
          <w:i/>
        </w:rPr>
        <w:t xml:space="preserve">Annual weather data from Malahat station (MoTI ID 62091)</w:t>
      </w:r>
    </w:p>
    <w:tbl>
      <w:tblPr>
        <w:tblStyle w:val="Table"/>
        <w:tblW w:type="pct" w:w="0.0"/>
        <w:tblLook w:firstRow="1"/>
        <w:tblCaption w:val="Table 21: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27</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27: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0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22:</w:t>
      </w:r>
      <w:r>
        <w:t xml:space="preserve"> </w:t>
      </w:r>
      <w:r>
        <w:rPr>
          <w:i/>
        </w:rPr>
        <w:t xml:space="preserve">Results of Wilcoxon test for Malahat weather data before and during the study period</w:t>
      </w:r>
    </w:p>
    <w:tbl>
      <w:tblPr>
        <w:tblStyle w:val="Table"/>
        <w:tblW w:type="pct" w:w="0.0"/>
        <w:tblLook w:firstRow="1"/>
        <w:tblCaption w:val="Table 22: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9"/>
      </w:pPr>
      <w:bookmarkStart w:id="108" w:name="Xce8fa8365ce60c173c7cf963ead1de6f5cbd7c4"/>
      <w:r>
        <w:t xml:space="preserve">DOC association with other water quality parameters</w:t>
      </w:r>
      <w:bookmarkEnd w:id="108"/>
    </w:p>
    <w:p>
      <w:pPr>
        <w:pStyle w:val="FirstParagraph"/>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28</w:t>
      </w:r>
      <w:r>
        <w:t xml:space="preserve"> </w:t>
      </w:r>
      <w:r>
        <w:t xml:space="preserve">shows DOC with total metals in μg/L, and Figure</w:t>
      </w:r>
      <w:r>
        <w:t xml:space="preserve"> </w:t>
      </w:r>
      <w:r>
        <w:t xml:space="preserve">29</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28: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0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29: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1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23</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23:</w:t>
      </w:r>
      <w:r>
        <w:t xml:space="preserve"> </w:t>
      </w:r>
      <w:r>
        <w:rPr>
          <w:i/>
        </w:rPr>
        <w:t xml:space="preserve">Relationships between total metals with dissolved organic carbon</w:t>
      </w:r>
    </w:p>
    <w:tbl>
      <w:tblPr>
        <w:tblStyle w:val="Table"/>
        <w:tblW w:type="pct" w:w="0.0"/>
        <w:tblLook w:firstRow="1"/>
        <w:tblCaption w:val="Table 23: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BodyText"/>
      </w:pPr>
      <w:r>
        <w:rPr>
          <w:i/>
          <w:b/>
        </w:rPr>
        <w:t xml:space="preserve">Nitrate &amp; DOC</w:t>
      </w:r>
    </w:p>
    <w:p>
      <w:pPr>
        <w:pStyle w:val="BodyText"/>
      </w:pPr>
      <w:r>
        <w:t xml:space="preserve">Each sample that was analyzed on the Spectrolyser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w:t>
      </w:r>
      <w:r>
        <w:t xml:space="preserve"> </w:t>
      </w:r>
      <w:r>
        <w:t xml:space="preserve">30</w:t>
      </w:r>
      <w:r>
        <w:t xml:space="preserve">). Nitrate can be a spectroscopic interferant for DOM estimates, and it’s unclear how the spectrolyser destinguishes between the two.</w:t>
      </w:r>
    </w:p>
    <w:p>
      <w:pPr>
        <w:pStyle w:val="BodyText"/>
      </w:pPr>
      <w:r>
        <w:t xml:space="preserve"> </w:t>
      </w:r>
    </w:p>
    <w:p>
      <w:pPr>
        <w:pStyle w:val="CaptionedFigure"/>
      </w:pPr>
      <w:r>
        <w:drawing>
          <wp:inline>
            <wp:extent cx="5504749" cy="3669832"/>
            <wp:effectExtent b="0" l="0" r="0" t="0"/>
            <wp:docPr descr="Figure 30: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11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rPr>
          <w:i/>
          <w:b/>
        </w:rPr>
        <w:t xml:space="preserve">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31</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31: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12"/>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Compact"/>
        <w:numPr>
          <w:numId w:val="1012"/>
          <w:ilvl w:val="0"/>
        </w:numPr>
      </w:pPr>
      <w:r>
        <w:t xml:space="preserve">TO DO: add comparison of treatability metrics at Tunnel versus Sooke Tribs</w:t>
      </w:r>
    </w:p>
    <w:p>
      <w:pPr>
        <w:pStyle w:val="FirstParagraph"/>
      </w:pPr>
      <w:r>
        <w:t xml:space="preserve"> </w:t>
      </w:r>
    </w:p>
    <w:p>
      <w:pPr>
        <w:pStyle w:val="BodyText"/>
      </w:pPr>
      <w:r>
        <w:rPr>
          <w:i/>
          <w:b/>
        </w:rPr>
        <w:t xml:space="preserve">?</w:t>
      </w:r>
    </w:p>
    <w:p>
      <w:pPr>
        <w:pStyle w:val="Compact"/>
        <w:numPr>
          <w:numId w:val="1013"/>
          <w:ilvl w:val="0"/>
        </w:numPr>
      </w:pPr>
      <w:r>
        <w:t xml:space="preserve">Gauging Streamflow (?)</w:t>
      </w:r>
    </w:p>
    <w:p>
      <w:pPr>
        <w:pStyle w:val="Compact"/>
        <w:numPr>
          <w:numId w:val="1013"/>
          <w:ilvl w:val="0"/>
        </w:numPr>
      </w:pPr>
      <w:r>
        <w:t xml:space="preserve">Instrument calibration</w:t>
      </w:r>
    </w:p>
    <w:p>
      <w:pPr>
        <w:pStyle w:val="Compact"/>
        <w:numPr>
          <w:numId w:val="1013"/>
          <w:ilvl w:val="0"/>
        </w:numPr>
      </w:pPr>
      <w:r>
        <w:t xml:space="preserve">Calibration verification (cal vers)</w:t>
      </w:r>
    </w:p>
    <w:bookmarkStart w:id="196" w:name="refs"/>
    <w:bookmarkStart w:id="114"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13">
        <w:r>
          <w:rPr>
            <w:rStyle w:val="Hyperlink"/>
          </w:rPr>
          <w:t xml:space="preserve">https://doi.org/10.1111/ele.12897</w:t>
        </w:r>
      </w:hyperlink>
      <w:r>
        <w:t xml:space="preserve">.</w:t>
      </w:r>
    </w:p>
    <w:bookmarkEnd w:id="114"/>
    <w:bookmarkStart w:id="116"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15">
        <w:r>
          <w:rPr>
            <w:rStyle w:val="Hyperlink"/>
          </w:rPr>
          <w:t xml:space="preserve">https://doi.org/10.1021/es103992s</w:t>
        </w:r>
      </w:hyperlink>
      <w:r>
        <w:t xml:space="preserve">.</w:t>
      </w:r>
    </w:p>
    <w:bookmarkEnd w:id="116"/>
    <w:bookmarkStart w:id="118"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17">
        <w:r>
          <w:rPr>
            <w:rStyle w:val="Hyperlink"/>
          </w:rPr>
          <w:t xml:space="preserve">https://doi.org/10.1016/j.jhydrol.2014.05.060</w:t>
        </w:r>
      </w:hyperlink>
      <w:r>
        <w:t xml:space="preserve">.</w:t>
      </w:r>
    </w:p>
    <w:bookmarkEnd w:id="118"/>
    <w:bookmarkStart w:id="120" w:name="ref-BC2019"/>
    <w:p>
      <w:pPr>
        <w:pStyle w:val="Bibliography"/>
      </w:pPr>
      <w:r>
        <w:t xml:space="preserve">British Columbia Ministry of Environment. 2017. “Source Drinking Water Quality Guidelines: Guideline Summary.” Victoria, B.C.: Prov. B.C.</w:t>
      </w:r>
      <w:r>
        <w:t xml:space="preserve"> </w:t>
      </w:r>
      <w:hyperlink r:id="rId119">
        <w:r>
          <w:rPr>
            <w:rStyle w:val="Hyperlink"/>
          </w:rPr>
          <w:t xml:space="preserve">https://www2.gov.bc.ca/gov/content/governments/organizational-structure/ministries-organizations/ministries/environment-climate-change</w:t>
        </w:r>
      </w:hyperlink>
      <w:r>
        <w:t xml:space="preserve">.</w:t>
      </w:r>
    </w:p>
    <w:bookmarkEnd w:id="120"/>
    <w:bookmarkStart w:id="121" w:name="ref-CCME2004"/>
    <w:p>
      <w:pPr>
        <w:pStyle w:val="Bibliography"/>
      </w:pPr>
      <w:r>
        <w:t xml:space="preserve">Canadian Council of Ministers of the Environment. 2004. “From source to tap : guidance on the multi-barrier approach to safe drinking water.”</w:t>
      </w:r>
    </w:p>
    <w:bookmarkEnd w:id="121"/>
    <w:bookmarkStart w:id="123"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22">
        <w:r>
          <w:rPr>
            <w:rStyle w:val="Hyperlink"/>
          </w:rPr>
          <w:t xml:space="preserve">https://doi.org/10.2166/aqua.2008.064</w:t>
        </w:r>
      </w:hyperlink>
      <w:r>
        <w:t xml:space="preserve">.</w:t>
      </w:r>
    </w:p>
    <w:bookmarkEnd w:id="123"/>
    <w:bookmarkStart w:id="125" w:name="ref-CapitalRegionDistrict2017"/>
    <w:p>
      <w:pPr>
        <w:pStyle w:val="Bibliography"/>
      </w:pPr>
      <w:r>
        <w:t xml:space="preserve">CRD. 2017. “Regional Water Supply 2017 Strategic Plan.” Victoria, B.C.: Capital Region District, Integrated Water Services.</w:t>
      </w:r>
      <w:r>
        <w:t xml:space="preserve"> </w:t>
      </w:r>
      <w:hyperlink r:id="rId124">
        <w:r>
          <w:rPr>
            <w:rStyle w:val="Hyperlink"/>
          </w:rPr>
          <w:t xml:space="preserve">https://www.crd.bc.ca/project/past-capital-projects-and-initiatives/water-supply-plan</w:t>
        </w:r>
      </w:hyperlink>
      <w:r>
        <w:t xml:space="preserve">.</w:t>
      </w:r>
    </w:p>
    <w:bookmarkEnd w:id="125"/>
    <w:bookmarkStart w:id="127"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26">
        <w:r>
          <w:rPr>
            <w:rStyle w:val="Hyperlink"/>
          </w:rPr>
          <w:t xml:space="preserve">https://doi.org/IWSS-297445977-5079</w:t>
        </w:r>
      </w:hyperlink>
      <w:r>
        <w:t xml:space="preserve">.</w:t>
      </w:r>
    </w:p>
    <w:bookmarkEnd w:id="127"/>
    <w:bookmarkStart w:id="129"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28">
        <w:r>
          <w:rPr>
            <w:rStyle w:val="Hyperlink"/>
          </w:rPr>
          <w:t xml:space="preserve">https://doi.org/10.1139/cjfas-2014-0400</w:t>
        </w:r>
      </w:hyperlink>
      <w:r>
        <w:t xml:space="preserve">.</w:t>
      </w:r>
    </w:p>
    <w:bookmarkEnd w:id="129"/>
    <w:bookmarkStart w:id="131"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30">
        <w:r>
          <w:rPr>
            <w:rStyle w:val="Hyperlink"/>
          </w:rPr>
          <w:t xml:space="preserve">https://doi.org/10.1016/B978-0-12-382092-1.00019-1</w:t>
        </w:r>
      </w:hyperlink>
      <w:r>
        <w:t xml:space="preserve">.</w:t>
      </w:r>
    </w:p>
    <w:bookmarkEnd w:id="131"/>
    <w:bookmarkStart w:id="133"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32">
        <w:r>
          <w:rPr>
            <w:rStyle w:val="Hyperlink"/>
          </w:rPr>
          <w:t xml:space="preserve">https://doi.org/10.1016/j.watres.2016.08.031</w:t>
        </w:r>
      </w:hyperlink>
      <w:r>
        <w:t xml:space="preserve">.</w:t>
      </w:r>
    </w:p>
    <w:bookmarkEnd w:id="133"/>
    <w:bookmarkStart w:id="135"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34">
        <w:r>
          <w:rPr>
            <w:rStyle w:val="Hyperlink"/>
          </w:rPr>
          <w:t xml:space="preserve">http://scholar.google.com/scholar?hl=en{\&amp;}btnG=Search{\&amp;}q=intitle:Running+Pure{\#}1</w:t>
        </w:r>
      </w:hyperlink>
      <w:r>
        <w:t xml:space="preserve">.</w:t>
      </w:r>
    </w:p>
    <w:bookmarkEnd w:id="135"/>
    <w:bookmarkStart w:id="137"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36">
        <w:r>
          <w:rPr>
            <w:rStyle w:val="Hyperlink"/>
          </w:rPr>
          <w:t xml:space="preserve">http://www.standardmethods.org/</w:t>
        </w:r>
      </w:hyperlink>
      <w:r>
        <w:t xml:space="preserve">.</w:t>
      </w:r>
    </w:p>
    <w:bookmarkEnd w:id="137"/>
    <w:bookmarkStart w:id="139"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38">
        <w:r>
          <w:rPr>
            <w:rStyle w:val="Hyperlink"/>
          </w:rPr>
          <w:t xml:space="preserve">https://doi.org/10.1016/j.watres.2010.08.051</w:t>
        </w:r>
      </w:hyperlink>
      <w:r>
        <w:t xml:space="preserve">.</w:t>
      </w:r>
    </w:p>
    <w:bookmarkEnd w:id="139"/>
    <w:bookmarkStart w:id="141"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40">
        <w:r>
          <w:rPr>
            <w:rStyle w:val="Hyperlink"/>
          </w:rPr>
          <w:t xml:space="preserve">https://doi.org/10.3133/fs06700</w:t>
        </w:r>
      </w:hyperlink>
      <w:r>
        <w:t xml:space="preserve">.</w:t>
      </w:r>
    </w:p>
    <w:bookmarkEnd w:id="141"/>
    <w:bookmarkStart w:id="143" w:name="ref-HealthCanada2019"/>
    <w:p>
      <w:pPr>
        <w:pStyle w:val="Bibliography"/>
      </w:pPr>
      <w:r>
        <w:t xml:space="preserve">Health Canada. 2019. “Guidance on Natural Organic Matter in Drinking Water.”</w:t>
      </w:r>
      <w:r>
        <w:t xml:space="preserve"> </w:t>
      </w:r>
      <w:hyperlink r:id="rId142">
        <w:r>
          <w:rPr>
            <w:rStyle w:val="Hyperlink"/>
          </w:rPr>
          <w:t xml:space="preserve">https://www.canada.ca/content/dam/hc-sc/documents/programs/consultation-organic-matter-drinking-water/NOM20190129-eng.pdf</w:t>
        </w:r>
      </w:hyperlink>
      <w:r>
        <w:t xml:space="preserve">.</w:t>
      </w:r>
    </w:p>
    <w:bookmarkEnd w:id="143"/>
    <w:bookmarkStart w:id="145" w:name="ref-HealthCanada2006"/>
    <w:p>
      <w:pPr>
        <w:pStyle w:val="Bibliography"/>
      </w:pPr>
      <w:r>
        <w:t xml:space="preserve">HealthCanada. 2006. “Drinking Water Chlorination.”</w:t>
      </w:r>
      <w:r>
        <w:t xml:space="preserve"> </w:t>
      </w:r>
      <w:hyperlink r:id="rId144">
        <w:r>
          <w:rPr>
            <w:rStyle w:val="Hyperlink"/>
          </w:rPr>
          <w:t xml:space="preserve">https://www.canada.ca/en/health-canada/services/healthy-living/your-health/environment/drinking-water-chlorination.html</w:t>
        </w:r>
      </w:hyperlink>
      <w:r>
        <w:t xml:space="preserve">.</w:t>
      </w:r>
    </w:p>
    <w:bookmarkEnd w:id="145"/>
    <w:bookmarkStart w:id="147" w:name="ref-HealthLinkBC2018"/>
    <w:p>
      <w:pPr>
        <w:pStyle w:val="Bibliography"/>
      </w:pPr>
      <w:r>
        <w:t xml:space="preserve">HealthLinkBC. 2018. “Drinking Water Chlorination,” no. 49.</w:t>
      </w:r>
      <w:r>
        <w:t xml:space="preserve"> </w:t>
      </w:r>
      <w:hyperlink r:id="rId146">
        <w:r>
          <w:rPr>
            <w:rStyle w:val="Hyperlink"/>
          </w:rPr>
          <w:t xml:space="preserve">https://www.healthlinkbc.ca/healthlinkbc-files/drinking-water-chlorination</w:t>
        </w:r>
      </w:hyperlink>
      <w:r>
        <w:t xml:space="preserve">.</w:t>
      </w:r>
    </w:p>
    <w:bookmarkEnd w:id="147"/>
    <w:bookmarkStart w:id="149"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48">
        <w:r>
          <w:rPr>
            <w:rStyle w:val="Hyperlink"/>
          </w:rPr>
          <w:t xml:space="preserve">https://www.jstor.org/stable/40058211</w:t>
        </w:r>
      </w:hyperlink>
      <w:r>
        <w:t xml:space="preserve">.</w:t>
      </w:r>
    </w:p>
    <w:bookmarkEnd w:id="149"/>
    <w:bookmarkStart w:id="151"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50">
        <w:r>
          <w:rPr>
            <w:rStyle w:val="Hyperlink"/>
          </w:rPr>
          <w:t xml:space="preserve">https://doi.org/10.1016/j.chemosphere.2015.03.039</w:t>
        </w:r>
      </w:hyperlink>
      <w:r>
        <w:t xml:space="preserve">.</w:t>
      </w:r>
    </w:p>
    <w:bookmarkEnd w:id="151"/>
    <w:bookmarkStart w:id="153"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152">
        <w:r>
          <w:rPr>
            <w:rStyle w:val="Hyperlink"/>
          </w:rPr>
          <w:t xml:space="preserve">https://doi.org/10.1002/j.1551-8833.1995.tb06302.x</w:t>
        </w:r>
      </w:hyperlink>
      <w:r>
        <w:t xml:space="preserve">.</w:t>
      </w:r>
    </w:p>
    <w:bookmarkEnd w:id="153"/>
    <w:bookmarkStart w:id="155"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54">
        <w:r>
          <w:rPr>
            <w:rStyle w:val="Hyperlink"/>
          </w:rPr>
          <w:t xml:space="preserve">https://doi.org/doi:10.1046/j.1365-2427.1997.d01-539.x</w:t>
        </w:r>
      </w:hyperlink>
      <w:r>
        <w:t xml:space="preserve">.</w:t>
      </w:r>
    </w:p>
    <w:bookmarkEnd w:id="155"/>
    <w:bookmarkStart w:id="157"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56">
        <w:r>
          <w:rPr>
            <w:rStyle w:val="Hyperlink"/>
          </w:rPr>
          <w:t xml:space="preserve">https://archive.org/details/metaltransportre00lazeuoft/mode/2up</w:t>
        </w:r>
      </w:hyperlink>
      <w:r>
        <w:t xml:space="preserve">.</w:t>
      </w:r>
    </w:p>
    <w:bookmarkEnd w:id="157"/>
    <w:bookmarkStart w:id="159"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58">
        <w:r>
          <w:rPr>
            <w:rStyle w:val="Hyperlink"/>
          </w:rPr>
          <w:t xml:space="preserve">https://doi.org/10.1016/j.jhazmat.2014.02.009</w:t>
        </w:r>
      </w:hyperlink>
      <w:r>
        <w:t xml:space="preserve">.</w:t>
      </w:r>
    </w:p>
    <w:bookmarkEnd w:id="159"/>
    <w:bookmarkStart w:id="161"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60">
        <w:r>
          <w:rPr>
            <w:rStyle w:val="Hyperlink"/>
          </w:rPr>
          <w:t xml:space="preserve">https://doi.org/10.1016/j.chemosphere.2011.01.018</w:t>
        </w:r>
      </w:hyperlink>
      <w:r>
        <w:t xml:space="preserve">.</w:t>
      </w:r>
    </w:p>
    <w:bookmarkEnd w:id="161"/>
    <w:bookmarkStart w:id="163"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162">
        <w:r>
          <w:rPr>
            <w:rStyle w:val="Hyperlink"/>
          </w:rPr>
          <w:t xml:space="preserve">https://doi.org/10.1016/j.cis.2010.06.007</w:t>
        </w:r>
      </w:hyperlink>
      <w:r>
        <w:t xml:space="preserve">.</w:t>
      </w:r>
    </w:p>
    <w:bookmarkEnd w:id="163"/>
    <w:bookmarkStart w:id="165"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164">
        <w:r>
          <w:rPr>
            <w:rStyle w:val="Hyperlink"/>
          </w:rPr>
          <w:t xml:space="preserve">https://www.jstor.org/stable/1937326</w:t>
        </w:r>
      </w:hyperlink>
      <w:r>
        <w:t xml:space="preserve">.</w:t>
      </w:r>
    </w:p>
    <w:bookmarkEnd w:id="165"/>
    <w:bookmarkStart w:id="166"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66"/>
    <w:bookmarkStart w:id="168"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67">
        <w:r>
          <w:rPr>
            <w:rStyle w:val="Hyperlink"/>
          </w:rPr>
          <w:t xml:space="preserve">https://doi.org/10.1007/s10533-015-0103-6</w:t>
        </w:r>
      </w:hyperlink>
      <w:r>
        <w:t xml:space="preserve">.</w:t>
      </w:r>
    </w:p>
    <w:bookmarkEnd w:id="168"/>
    <w:bookmarkStart w:id="170"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69">
        <w:r>
          <w:rPr>
            <w:rStyle w:val="Hyperlink"/>
          </w:rPr>
          <w:t xml:space="preserve">https://doi.org/10.5194/bg-10-2315-2013</w:t>
        </w:r>
      </w:hyperlink>
      <w:r>
        <w:t xml:space="preserve">.</w:t>
      </w:r>
    </w:p>
    <w:bookmarkEnd w:id="170"/>
    <w:bookmarkStart w:id="172"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71">
        <w:r>
          <w:rPr>
            <w:rStyle w:val="Hyperlink"/>
          </w:rPr>
          <w:t xml:space="preserve">https://doi.org/10.1007/s11270-013-1651-9</w:t>
        </w:r>
      </w:hyperlink>
      <w:r>
        <w:t xml:space="preserve">.</w:t>
      </w:r>
    </w:p>
    <w:bookmarkEnd w:id="172"/>
    <w:bookmarkStart w:id="174"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173">
        <w:r>
          <w:rPr>
            <w:rStyle w:val="Hyperlink"/>
          </w:rPr>
          <w:t xml:space="preserve">https://doi.org/10.1016/S0003-2670(96)00412-6</w:t>
        </w:r>
      </w:hyperlink>
      <w:r>
        <w:t xml:space="preserve">.</w:t>
      </w:r>
    </w:p>
    <w:bookmarkEnd w:id="174"/>
    <w:bookmarkStart w:id="176"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75">
        <w:r>
          <w:rPr>
            <w:rStyle w:val="Hyperlink"/>
          </w:rPr>
          <w:t xml:space="preserve">https://www.for.gov.bc.ca/hfd/pubs/docs/lmh/Lmh66/LMH66{\_}volume2of2.pdf</w:t>
        </w:r>
      </w:hyperlink>
      <w:r>
        <w:t xml:space="preserve">.</w:t>
      </w:r>
    </w:p>
    <w:bookmarkEnd w:id="176"/>
    <w:bookmarkStart w:id="177"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77"/>
    <w:bookmarkStart w:id="179"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78">
        <w:r>
          <w:rPr>
            <w:rStyle w:val="Hyperlink"/>
          </w:rPr>
          <w:t xml:space="preserve">https://doi.org/10.1007/sl0533-010-9416-7</w:t>
        </w:r>
      </w:hyperlink>
      <w:r>
        <w:t xml:space="preserve">.</w:t>
      </w:r>
    </w:p>
    <w:bookmarkEnd w:id="179"/>
    <w:bookmarkStart w:id="181"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80">
        <w:r>
          <w:rPr>
            <w:rStyle w:val="Hyperlink"/>
          </w:rPr>
          <w:t xml:space="preserve">https://www.jstor.org/stable/24702986</w:t>
        </w:r>
      </w:hyperlink>
      <w:r>
        <w:t xml:space="preserve">.</w:t>
      </w:r>
    </w:p>
    <w:bookmarkEnd w:id="181"/>
    <w:bookmarkStart w:id="183"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82">
        <w:r>
          <w:rPr>
            <w:rStyle w:val="Hyperlink"/>
          </w:rPr>
          <w:t xml:space="preserve">https://doi.org/10.1016/j.mrrev.2007.09.001</w:t>
        </w:r>
      </w:hyperlink>
      <w:r>
        <w:t xml:space="preserve">.</w:t>
      </w:r>
    </w:p>
    <w:bookmarkEnd w:id="183"/>
    <w:bookmarkStart w:id="185"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84">
        <w:r>
          <w:rPr>
            <w:rStyle w:val="Hyperlink"/>
          </w:rPr>
          <w:t xml:space="preserve">https://doi.org/10.1111/j.1365-2427.2011.02613.x</w:t>
        </w:r>
      </w:hyperlink>
      <w:r>
        <w:t xml:space="preserve">.</w:t>
      </w:r>
    </w:p>
    <w:bookmarkEnd w:id="185"/>
    <w:bookmarkStart w:id="186"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86"/>
    <w:bookmarkStart w:id="187"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87"/>
    <w:bookmarkStart w:id="189"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88">
        <w:r>
          <w:rPr>
            <w:rStyle w:val="Hyperlink"/>
          </w:rPr>
          <w:t xml:space="preserve">https://doi.org/10.1007/s10533-008-9207-6</w:t>
        </w:r>
      </w:hyperlink>
      <w:r>
        <w:t xml:space="preserve">.</w:t>
      </w:r>
    </w:p>
    <w:bookmarkEnd w:id="189"/>
    <w:bookmarkStart w:id="191"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90">
        <w:r>
          <w:rPr>
            <w:rStyle w:val="Hyperlink"/>
          </w:rPr>
          <w:t xml:space="preserve">https://doi.org/10.1021/es030360x</w:t>
        </w:r>
      </w:hyperlink>
      <w:r>
        <w:t xml:space="preserve">.</w:t>
      </w:r>
    </w:p>
    <w:bookmarkEnd w:id="191"/>
    <w:bookmarkStart w:id="193"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92">
        <w:r>
          <w:rPr>
            <w:rStyle w:val="Hyperlink"/>
          </w:rPr>
          <w:t xml:space="preserve">https://doi.org/10.1007/s11356-015-4078-6</w:t>
        </w:r>
      </w:hyperlink>
      <w:r>
        <w:t xml:space="preserve">.</w:t>
      </w:r>
    </w:p>
    <w:bookmarkEnd w:id="193"/>
    <w:bookmarkStart w:id="195"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94">
        <w:r>
          <w:rPr>
            <w:rStyle w:val="Hyperlink"/>
          </w:rPr>
          <w:t xml:space="preserve">https://doi.org/10.1029/2018GL080005</w:t>
        </w:r>
      </w:hyperlink>
      <w:r>
        <w:t xml:space="preserve">.</w:t>
      </w:r>
    </w:p>
    <w:bookmarkEnd w:id="195"/>
    <w:bookmarkEnd w:id="196"/>
    <w:sectPr w:rsidR="007B57E6" w:rsidRPr="001469F7" w:rsidSect="002F162A">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Any and all geospatial data provided by the CRD was used with permission from the Capital Regional District.</w:t>
      </w:r>
    </w:p>
  </w:footnote>
  <w:footnote w:id="56">
    <w:p>
      <w:pPr>
        <w:pStyle w:val="FootnoteText"/>
      </w:pPr>
      <w:r>
        <w:rPr>
          <w:rStyle w:val="FootnoteReference"/>
        </w:rPr>
        <w:footnoteRef/>
      </w:r>
      <w:r>
        <w:t xml:space="preserve"> </w:t>
      </w:r>
      <w:r>
        <w:t xml:space="preserve">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 w:id="66">
    <w:p>
      <w:pPr>
        <w:pStyle w:val="FootnoteText"/>
      </w:pPr>
      <w:r>
        <w:rPr>
          <w:rStyle w:val="FootnoteReference"/>
        </w:rPr>
        <w:footnoteRef/>
      </w:r>
      <w:r>
        <w:t xml:space="preserve"> </w:t>
      </w:r>
      <w:r>
        <w:t xml:space="preserve">The Wilcoxon signed-rank test is a non-parametric paired difference test used in comparing two related samples to assess whether their means differ, or are the same (null hypothesis); it is an alternative to paired Student’s t-tests, suitable for when the differences between two sample’s means are not assumed to be normally distributed.</w:t>
      </w:r>
    </w:p>
  </w:footnote>
  <w:footnote w:id="74">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86" Target="media/rId86.png" /><Relationship Type="http://schemas.openxmlformats.org/officeDocument/2006/relationships/image" Id="rId76" Target="media/rId76.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84" Target="media/rId84.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2" Target="media/rId82.png" /><Relationship Type="http://schemas.openxmlformats.org/officeDocument/2006/relationships/image" Id="rId110" Target="media/rId110.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hyperlink" Id="rId134" Target="http://scholar.google.com/scholar?hl=en%7B\&amp;%7DbtnG=Search%7B\&amp;%7Dq=intitle:Running+Pure%7B\#%7D1" TargetMode="External" /><Relationship Type="http://schemas.openxmlformats.org/officeDocument/2006/relationships/hyperlink" Id="rId136" Target="http://www.standardmethods.org/" TargetMode="External" /><Relationship Type="http://schemas.openxmlformats.org/officeDocument/2006/relationships/hyperlink" Id="rId156" Target="https://archive.org/details/metaltransportre00lazeuoft/mode/2up" TargetMode="External" /><Relationship Type="http://schemas.openxmlformats.org/officeDocument/2006/relationships/hyperlink" Id="rId152" Target="https://doi.org/10.1002/j.1551-8833.1995.tb06302.x" TargetMode="External" /><Relationship Type="http://schemas.openxmlformats.org/officeDocument/2006/relationships/hyperlink" Id="rId188" Target="https://doi.org/10.1007/s10533-008-9207-6" TargetMode="External" /><Relationship Type="http://schemas.openxmlformats.org/officeDocument/2006/relationships/hyperlink" Id="rId167" Target="https://doi.org/10.1007/s10533-015-0103-6" TargetMode="External" /><Relationship Type="http://schemas.openxmlformats.org/officeDocument/2006/relationships/hyperlink" Id="rId171" Target="https://doi.org/10.1007/s11270-013-1651-9" TargetMode="External" /><Relationship Type="http://schemas.openxmlformats.org/officeDocument/2006/relationships/hyperlink" Id="rId192" Target="https://doi.org/10.1007/s11356-015-4078-6" TargetMode="External" /><Relationship Type="http://schemas.openxmlformats.org/officeDocument/2006/relationships/hyperlink" Id="rId178" Target="https://doi.org/10.1007/sl0533-010-9416-7" TargetMode="External" /><Relationship Type="http://schemas.openxmlformats.org/officeDocument/2006/relationships/hyperlink" Id="rId130" Target="https://doi.org/10.1016/B978-0-12-382092-1.00019-1" TargetMode="External" /><Relationship Type="http://schemas.openxmlformats.org/officeDocument/2006/relationships/hyperlink" Id="rId173" Target="https://doi.org/10.1016/S0003-2670(96)00412-6" TargetMode="External" /><Relationship Type="http://schemas.openxmlformats.org/officeDocument/2006/relationships/hyperlink" Id="rId160" Target="https://doi.org/10.1016/j.chemosphere.2011.01.018" TargetMode="External" /><Relationship Type="http://schemas.openxmlformats.org/officeDocument/2006/relationships/hyperlink" Id="rId150" Target="https://doi.org/10.1016/j.chemosphere.2015.03.039" TargetMode="External" /><Relationship Type="http://schemas.openxmlformats.org/officeDocument/2006/relationships/hyperlink" Id="rId162" Target="https://doi.org/10.1016/j.cis.2010.06.007" TargetMode="External" /><Relationship Type="http://schemas.openxmlformats.org/officeDocument/2006/relationships/hyperlink" Id="rId158" Target="https://doi.org/10.1016/j.jhazmat.2014.02.009" TargetMode="External" /><Relationship Type="http://schemas.openxmlformats.org/officeDocument/2006/relationships/hyperlink" Id="rId117" Target="https://doi.org/10.1016/j.jhydrol.2014.05.060" TargetMode="External" /><Relationship Type="http://schemas.openxmlformats.org/officeDocument/2006/relationships/hyperlink" Id="rId182" Target="https://doi.org/10.1016/j.mrrev.2007.09.001" TargetMode="External" /><Relationship Type="http://schemas.openxmlformats.org/officeDocument/2006/relationships/hyperlink" Id="rId138" Target="https://doi.org/10.1016/j.watres.2010.08.051" TargetMode="External" /><Relationship Type="http://schemas.openxmlformats.org/officeDocument/2006/relationships/hyperlink" Id="rId132" Target="https://doi.org/10.1016/j.watres.2016.08.031" TargetMode="External" /><Relationship Type="http://schemas.openxmlformats.org/officeDocument/2006/relationships/hyperlink" Id="rId190" Target="https://doi.org/10.1021/es030360x" TargetMode="External" /><Relationship Type="http://schemas.openxmlformats.org/officeDocument/2006/relationships/hyperlink" Id="rId115" Target="https://doi.org/10.1021/es103992s" TargetMode="External" /><Relationship Type="http://schemas.openxmlformats.org/officeDocument/2006/relationships/hyperlink" Id="rId194" Target="https://doi.org/10.1029/2018GL080005" TargetMode="External" /><Relationship Type="http://schemas.openxmlformats.org/officeDocument/2006/relationships/hyperlink" Id="rId113" Target="https://doi.org/10.1111/ele.12897" TargetMode="External" /><Relationship Type="http://schemas.openxmlformats.org/officeDocument/2006/relationships/hyperlink" Id="rId184" Target="https://doi.org/10.1111/j.1365-2427.2011.02613.x" TargetMode="External" /><Relationship Type="http://schemas.openxmlformats.org/officeDocument/2006/relationships/hyperlink" Id="rId128" Target="https://doi.org/10.1139/cjfas-2014-0400" TargetMode="External" /><Relationship Type="http://schemas.openxmlformats.org/officeDocument/2006/relationships/hyperlink" Id="rId122" Target="https://doi.org/10.2166/aqua.2008.064" TargetMode="External" /><Relationship Type="http://schemas.openxmlformats.org/officeDocument/2006/relationships/hyperlink" Id="rId140" Target="https://doi.org/10.3133/fs06700" TargetMode="External" /><Relationship Type="http://schemas.openxmlformats.org/officeDocument/2006/relationships/hyperlink" Id="rId169" Target="https://doi.org/10.5194/bg-10-2315-2013" TargetMode="External" /><Relationship Type="http://schemas.openxmlformats.org/officeDocument/2006/relationships/hyperlink" Id="rId126" Target="https://doi.org/IWSS-297445977-5079" TargetMode="External" /><Relationship Type="http://schemas.openxmlformats.org/officeDocument/2006/relationships/hyperlink" Id="rId154" Target="https://doi.org/doi:10.1046/j.1365-2427.1997.d01-539.x" TargetMode="External" /><Relationship Type="http://schemas.openxmlformats.org/officeDocument/2006/relationships/hyperlink" Id="rId142" Target="https://www.canada.ca/content/dam/hc-sc/documents/programs/consultation-organic-matter-drinking-water/NOM20190129-eng.pdf" TargetMode="External" /><Relationship Type="http://schemas.openxmlformats.org/officeDocument/2006/relationships/hyperlink" Id="rId144" Target="https://www.canada.ca/en/health-canada/services/healthy-living/your-health/environment/drinking-water-chlorination.html" TargetMode="External" /><Relationship Type="http://schemas.openxmlformats.org/officeDocument/2006/relationships/hyperlink" Id="rId124" Target="https://www.crd.bc.ca/project/past-capital-projects-and-initiatives/water-supply-plan" TargetMode="External" /><Relationship Type="http://schemas.openxmlformats.org/officeDocument/2006/relationships/hyperlink" Id="rId175"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46" Target="https://www.healthlinkbc.ca/healthlinkbc-files/drinking-water-chlorination" TargetMode="External" /><Relationship Type="http://schemas.openxmlformats.org/officeDocument/2006/relationships/hyperlink" Id="rId164" Target="https://www.jstor.org/stable/1937326" TargetMode="External" /><Relationship Type="http://schemas.openxmlformats.org/officeDocument/2006/relationships/hyperlink" Id="rId180" Target="https://www.jstor.org/stable/24702986" TargetMode="External" /><Relationship Type="http://schemas.openxmlformats.org/officeDocument/2006/relationships/hyperlink" Id="rId148" Target="https://www.jstor.org/stable/40058211" TargetMode="External" /><Relationship Type="http://schemas.openxmlformats.org/officeDocument/2006/relationships/hyperlink" Id="rId119"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34" Target="http://scholar.google.com/scholar?hl=en%7B\&amp;%7DbtnG=Search%7B\&amp;%7Dq=intitle:Running+Pure%7B\#%7D1" TargetMode="External" /><Relationship Type="http://schemas.openxmlformats.org/officeDocument/2006/relationships/hyperlink" Id="rId136" Target="http://www.standardmethods.org/" TargetMode="External" /><Relationship Type="http://schemas.openxmlformats.org/officeDocument/2006/relationships/hyperlink" Id="rId156" Target="https://archive.org/details/metaltransportre00lazeuoft/mode/2up" TargetMode="External" /><Relationship Type="http://schemas.openxmlformats.org/officeDocument/2006/relationships/hyperlink" Id="rId152" Target="https://doi.org/10.1002/j.1551-8833.1995.tb06302.x" TargetMode="External" /><Relationship Type="http://schemas.openxmlformats.org/officeDocument/2006/relationships/hyperlink" Id="rId188" Target="https://doi.org/10.1007/s10533-008-9207-6" TargetMode="External" /><Relationship Type="http://schemas.openxmlformats.org/officeDocument/2006/relationships/hyperlink" Id="rId167" Target="https://doi.org/10.1007/s10533-015-0103-6" TargetMode="External" /><Relationship Type="http://schemas.openxmlformats.org/officeDocument/2006/relationships/hyperlink" Id="rId171" Target="https://doi.org/10.1007/s11270-013-1651-9" TargetMode="External" /><Relationship Type="http://schemas.openxmlformats.org/officeDocument/2006/relationships/hyperlink" Id="rId192" Target="https://doi.org/10.1007/s11356-015-4078-6" TargetMode="External" /><Relationship Type="http://schemas.openxmlformats.org/officeDocument/2006/relationships/hyperlink" Id="rId178" Target="https://doi.org/10.1007/sl0533-010-9416-7" TargetMode="External" /><Relationship Type="http://schemas.openxmlformats.org/officeDocument/2006/relationships/hyperlink" Id="rId130" Target="https://doi.org/10.1016/B978-0-12-382092-1.00019-1" TargetMode="External" /><Relationship Type="http://schemas.openxmlformats.org/officeDocument/2006/relationships/hyperlink" Id="rId173" Target="https://doi.org/10.1016/S0003-2670(96)00412-6" TargetMode="External" /><Relationship Type="http://schemas.openxmlformats.org/officeDocument/2006/relationships/hyperlink" Id="rId160" Target="https://doi.org/10.1016/j.chemosphere.2011.01.018" TargetMode="External" /><Relationship Type="http://schemas.openxmlformats.org/officeDocument/2006/relationships/hyperlink" Id="rId150" Target="https://doi.org/10.1016/j.chemosphere.2015.03.039" TargetMode="External" /><Relationship Type="http://schemas.openxmlformats.org/officeDocument/2006/relationships/hyperlink" Id="rId162" Target="https://doi.org/10.1016/j.cis.2010.06.007" TargetMode="External" /><Relationship Type="http://schemas.openxmlformats.org/officeDocument/2006/relationships/hyperlink" Id="rId158" Target="https://doi.org/10.1016/j.jhazmat.2014.02.009" TargetMode="External" /><Relationship Type="http://schemas.openxmlformats.org/officeDocument/2006/relationships/hyperlink" Id="rId117" Target="https://doi.org/10.1016/j.jhydrol.2014.05.060" TargetMode="External" /><Relationship Type="http://schemas.openxmlformats.org/officeDocument/2006/relationships/hyperlink" Id="rId182" Target="https://doi.org/10.1016/j.mrrev.2007.09.001" TargetMode="External" /><Relationship Type="http://schemas.openxmlformats.org/officeDocument/2006/relationships/hyperlink" Id="rId138" Target="https://doi.org/10.1016/j.watres.2010.08.051" TargetMode="External" /><Relationship Type="http://schemas.openxmlformats.org/officeDocument/2006/relationships/hyperlink" Id="rId132" Target="https://doi.org/10.1016/j.watres.2016.08.031" TargetMode="External" /><Relationship Type="http://schemas.openxmlformats.org/officeDocument/2006/relationships/hyperlink" Id="rId190" Target="https://doi.org/10.1021/es030360x" TargetMode="External" /><Relationship Type="http://schemas.openxmlformats.org/officeDocument/2006/relationships/hyperlink" Id="rId115" Target="https://doi.org/10.1021/es103992s" TargetMode="External" /><Relationship Type="http://schemas.openxmlformats.org/officeDocument/2006/relationships/hyperlink" Id="rId194" Target="https://doi.org/10.1029/2018GL080005" TargetMode="External" /><Relationship Type="http://schemas.openxmlformats.org/officeDocument/2006/relationships/hyperlink" Id="rId113" Target="https://doi.org/10.1111/ele.12897" TargetMode="External" /><Relationship Type="http://schemas.openxmlformats.org/officeDocument/2006/relationships/hyperlink" Id="rId184" Target="https://doi.org/10.1111/j.1365-2427.2011.02613.x" TargetMode="External" /><Relationship Type="http://schemas.openxmlformats.org/officeDocument/2006/relationships/hyperlink" Id="rId128" Target="https://doi.org/10.1139/cjfas-2014-0400" TargetMode="External" /><Relationship Type="http://schemas.openxmlformats.org/officeDocument/2006/relationships/hyperlink" Id="rId122" Target="https://doi.org/10.2166/aqua.2008.064" TargetMode="External" /><Relationship Type="http://schemas.openxmlformats.org/officeDocument/2006/relationships/hyperlink" Id="rId140" Target="https://doi.org/10.3133/fs06700" TargetMode="External" /><Relationship Type="http://schemas.openxmlformats.org/officeDocument/2006/relationships/hyperlink" Id="rId169" Target="https://doi.org/10.5194/bg-10-2315-2013" TargetMode="External" /><Relationship Type="http://schemas.openxmlformats.org/officeDocument/2006/relationships/hyperlink" Id="rId126" Target="https://doi.org/IWSS-297445977-5079" TargetMode="External" /><Relationship Type="http://schemas.openxmlformats.org/officeDocument/2006/relationships/hyperlink" Id="rId154" Target="https://doi.org/doi:10.1046/j.1365-2427.1997.d01-539.x" TargetMode="External" /><Relationship Type="http://schemas.openxmlformats.org/officeDocument/2006/relationships/hyperlink" Id="rId142" Target="https://www.canada.ca/content/dam/hc-sc/documents/programs/consultation-organic-matter-drinking-water/NOM20190129-eng.pdf" TargetMode="External" /><Relationship Type="http://schemas.openxmlformats.org/officeDocument/2006/relationships/hyperlink" Id="rId144" Target="https://www.canada.ca/en/health-canada/services/healthy-living/your-health/environment/drinking-water-chlorination.html" TargetMode="External" /><Relationship Type="http://schemas.openxmlformats.org/officeDocument/2006/relationships/hyperlink" Id="rId124" Target="https://www.crd.bc.ca/project/past-capital-projects-and-initiatives/water-supply-plan" TargetMode="External" /><Relationship Type="http://schemas.openxmlformats.org/officeDocument/2006/relationships/hyperlink" Id="rId175"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46" Target="https://www.healthlinkbc.ca/healthlinkbc-files/drinking-water-chlorination" TargetMode="External" /><Relationship Type="http://schemas.openxmlformats.org/officeDocument/2006/relationships/hyperlink" Id="rId164" Target="https://www.jstor.org/stable/1937326" TargetMode="External" /><Relationship Type="http://schemas.openxmlformats.org/officeDocument/2006/relationships/hyperlink" Id="rId180" Target="https://www.jstor.org/stable/24702986" TargetMode="External" /><Relationship Type="http://schemas.openxmlformats.org/officeDocument/2006/relationships/hyperlink" Id="rId148" Target="https://www.jstor.org/stable/40058211" TargetMode="External" /><Relationship Type="http://schemas.openxmlformats.org/officeDocument/2006/relationships/hyperlink" Id="rId119"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2020-06-24T05:04:18Z</dcterms:created>
  <dcterms:modified xsi:type="dcterms:W3CDTF">2020-06-24T05:04:18Z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